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A68" w:rsidRPr="00BE7E3B" w:rsidRDefault="00B64A68" w:rsidP="00B64A68">
      <w:pPr>
        <w:ind w:right="5"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E7E3B">
        <w:rPr>
          <w:rFonts w:ascii="Arial" w:hAnsi="Arial" w:cs="Arial"/>
          <w:b/>
          <w:sz w:val="24"/>
          <w:szCs w:val="24"/>
        </w:rPr>
        <w:t>III.</w:t>
      </w:r>
    </w:p>
    <w:p w:rsidR="00B64A68" w:rsidRPr="00BE7E3B" w:rsidRDefault="00B64A68" w:rsidP="00B64A68">
      <w:pPr>
        <w:spacing w:after="120"/>
        <w:ind w:right="5" w:firstLine="708"/>
        <w:jc w:val="center"/>
        <w:rPr>
          <w:rFonts w:ascii="Arial" w:hAnsi="Arial" w:cs="Arial"/>
          <w:b/>
          <w:caps/>
          <w:sz w:val="24"/>
          <w:szCs w:val="24"/>
        </w:rPr>
      </w:pPr>
      <w:r w:rsidRPr="00BE7E3B">
        <w:rPr>
          <w:rFonts w:ascii="Arial" w:hAnsi="Arial" w:cs="Arial"/>
          <w:b/>
          <w:caps/>
          <w:sz w:val="24"/>
          <w:szCs w:val="24"/>
        </w:rPr>
        <w:t>O D Ů v o d n ě n í</w:t>
      </w:r>
    </w:p>
    <w:p w:rsidR="002041CE" w:rsidRPr="00BE7E3B" w:rsidRDefault="002041CE" w:rsidP="00B64A68">
      <w:pPr>
        <w:spacing w:after="120"/>
        <w:ind w:right="5" w:firstLine="708"/>
        <w:jc w:val="center"/>
        <w:rPr>
          <w:rFonts w:ascii="Arial" w:hAnsi="Arial" w:cs="Arial"/>
          <w:b/>
          <w:caps/>
          <w:sz w:val="24"/>
          <w:szCs w:val="24"/>
        </w:rPr>
      </w:pPr>
    </w:p>
    <w:p w:rsidR="00B64A68" w:rsidRPr="00BE7E3B" w:rsidRDefault="00B64A68" w:rsidP="002041CE">
      <w:pPr>
        <w:pStyle w:val="Nadpis2"/>
        <w:keepNext w:val="0"/>
        <w:numPr>
          <w:ilvl w:val="1"/>
          <w:numId w:val="3"/>
        </w:numPr>
        <w:tabs>
          <w:tab w:val="left" w:pos="426"/>
        </w:tabs>
        <w:spacing w:before="0" w:after="120" w:line="276" w:lineRule="auto"/>
        <w:ind w:left="0" w:firstLine="0"/>
        <w:jc w:val="center"/>
        <w:rPr>
          <w:color w:val="auto"/>
          <w:sz w:val="24"/>
          <w:szCs w:val="24"/>
        </w:rPr>
      </w:pPr>
      <w:r w:rsidRPr="00BE7E3B">
        <w:rPr>
          <w:color w:val="auto"/>
          <w:sz w:val="24"/>
          <w:szCs w:val="24"/>
        </w:rPr>
        <w:t>O</w:t>
      </w:r>
      <w:r w:rsidR="002041CE" w:rsidRPr="00BE7E3B">
        <w:rPr>
          <w:color w:val="auto"/>
          <w:sz w:val="24"/>
          <w:szCs w:val="24"/>
        </w:rPr>
        <w:t>becná část</w:t>
      </w:r>
    </w:p>
    <w:p w:rsidR="002041CE" w:rsidRPr="00BE7E3B" w:rsidRDefault="002041CE" w:rsidP="00D6284E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462F7" w:rsidRPr="00BE7E3B" w:rsidRDefault="00E462F7" w:rsidP="00D6284E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BE7E3B">
        <w:rPr>
          <w:rFonts w:ascii="Arial" w:hAnsi="Arial" w:cs="Arial"/>
          <w:b/>
          <w:sz w:val="24"/>
          <w:szCs w:val="24"/>
          <w:u w:val="single"/>
          <w:lang w:eastAsia="ar-SA"/>
        </w:rPr>
        <w:t>Název</w:t>
      </w:r>
    </w:p>
    <w:p w:rsidR="00E462F7" w:rsidRPr="00BE7E3B" w:rsidRDefault="00E462F7" w:rsidP="00D6284E">
      <w:pPr>
        <w:spacing w:after="12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E3B">
        <w:rPr>
          <w:rFonts w:ascii="Arial" w:hAnsi="Arial" w:cs="Arial"/>
          <w:sz w:val="24"/>
          <w:szCs w:val="24"/>
          <w:lang w:eastAsia="ar-SA"/>
        </w:rPr>
        <w:tab/>
        <w:t>Návrh vyhlášky, kterou se mění vyhláška č. 363/2011 Sb., o personální bezpečnosti a</w:t>
      </w:r>
      <w:r w:rsidR="0000656C" w:rsidRPr="00BE7E3B">
        <w:rPr>
          <w:rFonts w:ascii="Arial" w:hAnsi="Arial" w:cs="Arial"/>
          <w:sz w:val="24"/>
          <w:szCs w:val="24"/>
          <w:lang w:eastAsia="ar-SA"/>
        </w:rPr>
        <w:t> </w:t>
      </w:r>
      <w:r w:rsidRPr="00BE7E3B">
        <w:rPr>
          <w:rFonts w:ascii="Arial" w:hAnsi="Arial" w:cs="Arial"/>
          <w:sz w:val="24"/>
          <w:szCs w:val="24"/>
          <w:lang w:eastAsia="ar-SA"/>
        </w:rPr>
        <w:t>o</w:t>
      </w:r>
      <w:r w:rsidR="0000656C" w:rsidRPr="00BE7E3B">
        <w:rPr>
          <w:rFonts w:ascii="Arial" w:hAnsi="Arial" w:cs="Arial"/>
          <w:sz w:val="24"/>
          <w:szCs w:val="24"/>
          <w:lang w:eastAsia="ar-SA"/>
        </w:rPr>
        <w:t> </w:t>
      </w:r>
      <w:r w:rsidRPr="00BE7E3B">
        <w:rPr>
          <w:rFonts w:ascii="Arial" w:hAnsi="Arial" w:cs="Arial"/>
          <w:sz w:val="24"/>
          <w:szCs w:val="24"/>
          <w:lang w:eastAsia="ar-SA"/>
        </w:rPr>
        <w:t>bezpečnostní způsobilosti, ve znění pozdějších předpisů.</w:t>
      </w:r>
    </w:p>
    <w:p w:rsidR="002041CE" w:rsidRPr="00BE7E3B" w:rsidRDefault="002041CE" w:rsidP="00D6284E">
      <w:pPr>
        <w:spacing w:after="12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C66091" w:rsidRPr="00BE7E3B" w:rsidRDefault="00B64A68" w:rsidP="00D6284E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BE7E3B">
        <w:rPr>
          <w:rFonts w:ascii="Arial" w:hAnsi="Arial" w:cs="Arial"/>
          <w:b/>
          <w:sz w:val="24"/>
          <w:szCs w:val="24"/>
          <w:u w:val="single"/>
          <w:lang w:eastAsia="ar-SA"/>
        </w:rPr>
        <w:t>Vysvětlení nezbytnosti navrhované právní úpravy, odůvodnění jejích hlavních principů</w:t>
      </w:r>
    </w:p>
    <w:p w:rsidR="008F61BE" w:rsidRPr="00BE7E3B" w:rsidRDefault="00B64A68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ab/>
      </w:r>
      <w:r w:rsidR="00724806" w:rsidRPr="00BE7E3B">
        <w:rPr>
          <w:rFonts w:ascii="Arial" w:hAnsi="Arial" w:cs="Arial"/>
          <w:sz w:val="24"/>
          <w:szCs w:val="24"/>
        </w:rPr>
        <w:t>Cílem návrhu vyhlášky</w:t>
      </w:r>
      <w:r w:rsidR="00E462F7" w:rsidRPr="00BE7E3B">
        <w:rPr>
          <w:rFonts w:ascii="Arial" w:hAnsi="Arial" w:cs="Arial"/>
          <w:sz w:val="24"/>
          <w:szCs w:val="24"/>
        </w:rPr>
        <w:t>, kterou se mění vyhláška č. 363/2011 Sb</w:t>
      </w:r>
      <w:r w:rsidR="007B28AC" w:rsidRPr="00BE7E3B">
        <w:rPr>
          <w:rFonts w:ascii="Arial" w:hAnsi="Arial" w:cs="Arial"/>
          <w:sz w:val="24"/>
          <w:szCs w:val="24"/>
        </w:rPr>
        <w:t>.</w:t>
      </w:r>
      <w:r w:rsidR="00E462F7" w:rsidRPr="00BE7E3B">
        <w:rPr>
          <w:rFonts w:ascii="Arial" w:hAnsi="Arial" w:cs="Arial"/>
          <w:sz w:val="24"/>
          <w:szCs w:val="24"/>
        </w:rPr>
        <w:t>,</w:t>
      </w:r>
      <w:r w:rsidR="00724806" w:rsidRPr="00BE7E3B">
        <w:rPr>
          <w:rFonts w:ascii="Arial" w:hAnsi="Arial" w:cs="Arial"/>
          <w:sz w:val="24"/>
          <w:szCs w:val="24"/>
        </w:rPr>
        <w:t xml:space="preserve"> o personální bezpečnosti a</w:t>
      </w:r>
      <w:r w:rsidR="0000656C" w:rsidRPr="00BE7E3B">
        <w:rPr>
          <w:rFonts w:ascii="Arial" w:hAnsi="Arial" w:cs="Arial"/>
          <w:sz w:val="24"/>
          <w:szCs w:val="24"/>
        </w:rPr>
        <w:t> </w:t>
      </w:r>
      <w:r w:rsidR="00724806" w:rsidRPr="00BE7E3B">
        <w:rPr>
          <w:rFonts w:ascii="Arial" w:hAnsi="Arial" w:cs="Arial"/>
          <w:sz w:val="24"/>
          <w:szCs w:val="24"/>
        </w:rPr>
        <w:t>o</w:t>
      </w:r>
      <w:r w:rsidR="0000656C" w:rsidRPr="00BE7E3B">
        <w:rPr>
          <w:rFonts w:ascii="Arial" w:hAnsi="Arial" w:cs="Arial"/>
          <w:sz w:val="24"/>
          <w:szCs w:val="24"/>
        </w:rPr>
        <w:t> </w:t>
      </w:r>
      <w:r w:rsidR="00724806" w:rsidRPr="00BE7E3B">
        <w:rPr>
          <w:rFonts w:ascii="Arial" w:hAnsi="Arial" w:cs="Arial"/>
          <w:sz w:val="24"/>
          <w:szCs w:val="24"/>
        </w:rPr>
        <w:t>bezpečnostní způsobilosti</w:t>
      </w:r>
      <w:r w:rsidR="00E462F7" w:rsidRPr="00BE7E3B">
        <w:rPr>
          <w:rFonts w:ascii="Arial" w:hAnsi="Arial" w:cs="Arial"/>
          <w:sz w:val="24"/>
          <w:szCs w:val="24"/>
        </w:rPr>
        <w:t>, ve znění pozdějších předpisů</w:t>
      </w:r>
      <w:r w:rsidR="00724806" w:rsidRPr="00BE7E3B">
        <w:rPr>
          <w:rFonts w:ascii="Arial" w:hAnsi="Arial" w:cs="Arial"/>
          <w:sz w:val="24"/>
          <w:szCs w:val="24"/>
        </w:rPr>
        <w:t xml:space="preserve"> </w:t>
      </w:r>
      <w:r w:rsidRPr="00BE7E3B">
        <w:rPr>
          <w:rFonts w:ascii="Arial" w:hAnsi="Arial" w:cs="Arial"/>
          <w:sz w:val="24"/>
          <w:szCs w:val="24"/>
        </w:rPr>
        <w:t>(dále jen „návrh vyhlášky“),</w:t>
      </w:r>
      <w:r w:rsidR="00E462F7" w:rsidRPr="00BE7E3B">
        <w:rPr>
          <w:rFonts w:ascii="Arial" w:hAnsi="Arial" w:cs="Arial"/>
          <w:sz w:val="24"/>
          <w:szCs w:val="24"/>
        </w:rPr>
        <w:t xml:space="preserve"> je zeefktivnění plnění povinností Národního bezpečnostního úřadu </w:t>
      </w:r>
      <w:r w:rsidR="00543F36" w:rsidRPr="00BE7E3B">
        <w:rPr>
          <w:rFonts w:ascii="Arial" w:hAnsi="Arial" w:cs="Arial"/>
          <w:sz w:val="24"/>
          <w:szCs w:val="24"/>
        </w:rPr>
        <w:t xml:space="preserve">(dále jen „NBÚ“) </w:t>
      </w:r>
      <w:r w:rsidR="00E462F7" w:rsidRPr="00BE7E3B">
        <w:rPr>
          <w:rFonts w:ascii="Arial" w:hAnsi="Arial" w:cs="Arial"/>
          <w:sz w:val="24"/>
          <w:szCs w:val="24"/>
        </w:rPr>
        <w:t>při prověřování, zda držitelé osvědčení fyzické osoby a držitelé dokladu splňují všechny podmínky pro jejich</w:t>
      </w:r>
      <w:r w:rsidR="007B28AC" w:rsidRPr="00BE7E3B">
        <w:rPr>
          <w:rFonts w:ascii="Arial" w:hAnsi="Arial" w:cs="Arial"/>
          <w:sz w:val="24"/>
          <w:szCs w:val="24"/>
        </w:rPr>
        <w:t xml:space="preserve"> vydání stanovené v 12 odst. </w:t>
      </w:r>
      <w:r w:rsidR="006A5073">
        <w:rPr>
          <w:rFonts w:ascii="Arial" w:hAnsi="Arial" w:cs="Arial"/>
          <w:sz w:val="24"/>
          <w:szCs w:val="24"/>
        </w:rPr>
        <w:br/>
      </w:r>
      <w:r w:rsidR="007B28AC" w:rsidRPr="00BE7E3B">
        <w:rPr>
          <w:rFonts w:ascii="Arial" w:hAnsi="Arial" w:cs="Arial"/>
          <w:sz w:val="24"/>
          <w:szCs w:val="24"/>
        </w:rPr>
        <w:t>1 a v § 81 odst. 1 zákona č. 412/2005 Sb., o ochraně utajovaných informací a</w:t>
      </w:r>
      <w:r w:rsidR="0000656C" w:rsidRPr="00BE7E3B">
        <w:rPr>
          <w:rFonts w:ascii="Arial" w:hAnsi="Arial" w:cs="Arial"/>
          <w:sz w:val="24"/>
          <w:szCs w:val="24"/>
        </w:rPr>
        <w:t> </w:t>
      </w:r>
      <w:r w:rsidR="007B28AC" w:rsidRPr="00BE7E3B">
        <w:rPr>
          <w:rFonts w:ascii="Arial" w:hAnsi="Arial" w:cs="Arial"/>
          <w:sz w:val="24"/>
          <w:szCs w:val="24"/>
        </w:rPr>
        <w:t>o</w:t>
      </w:r>
      <w:r w:rsidR="0000656C" w:rsidRPr="00BE7E3B">
        <w:rPr>
          <w:rFonts w:ascii="Arial" w:hAnsi="Arial" w:cs="Arial"/>
          <w:sz w:val="24"/>
          <w:szCs w:val="24"/>
        </w:rPr>
        <w:t> </w:t>
      </w:r>
      <w:r w:rsidR="007B28AC" w:rsidRPr="00BE7E3B">
        <w:rPr>
          <w:rFonts w:ascii="Arial" w:hAnsi="Arial" w:cs="Arial"/>
          <w:sz w:val="24"/>
          <w:szCs w:val="24"/>
        </w:rPr>
        <w:t>bezpečnostní způsobilosti, ve znění pozdějších předpisů (dále jen „zákon“)</w:t>
      </w:r>
      <w:r w:rsidR="00724806" w:rsidRPr="00BE7E3B">
        <w:rPr>
          <w:rFonts w:ascii="Arial" w:hAnsi="Arial" w:cs="Arial"/>
          <w:sz w:val="24"/>
          <w:szCs w:val="24"/>
        </w:rPr>
        <w:t xml:space="preserve">. </w:t>
      </w:r>
      <w:r w:rsidR="007B28AC" w:rsidRPr="00BE7E3B">
        <w:rPr>
          <w:rFonts w:ascii="Arial" w:hAnsi="Arial" w:cs="Arial"/>
          <w:sz w:val="24"/>
          <w:szCs w:val="24"/>
        </w:rPr>
        <w:t>Návrh vyhlášky dále v některých položkách upřesňuje přílohu č. 6, která stanoví vzor dotazníku fyzické osoby</w:t>
      </w:r>
      <w:r w:rsidR="00C66A21" w:rsidRPr="00BE7E3B">
        <w:rPr>
          <w:rFonts w:ascii="Arial" w:hAnsi="Arial" w:cs="Arial"/>
          <w:sz w:val="24"/>
          <w:szCs w:val="24"/>
        </w:rPr>
        <w:t xml:space="preserve">. Jedná se jednak o změny vycházející z aplikační praxe s cílem usnadnit žadatelům </w:t>
      </w:r>
      <w:r w:rsidR="00543F36" w:rsidRPr="00BE7E3B">
        <w:rPr>
          <w:rFonts w:ascii="Arial" w:hAnsi="Arial" w:cs="Arial"/>
          <w:sz w:val="24"/>
          <w:szCs w:val="24"/>
        </w:rPr>
        <w:t xml:space="preserve">o vydání osvědčení fyzické osoby, resp. dokladu, </w:t>
      </w:r>
      <w:r w:rsidR="00C66A21" w:rsidRPr="00BE7E3B">
        <w:rPr>
          <w:rFonts w:ascii="Arial" w:hAnsi="Arial" w:cs="Arial"/>
          <w:sz w:val="24"/>
          <w:szCs w:val="24"/>
        </w:rPr>
        <w:t xml:space="preserve">vyplnění jednotlivých položek dotazníku, jakož i upřesnění údajů, které NBÚ potřebuje za účelem posouzení splnění všech podmínek pro vydání osvědčení fyzické osoby nebo dokladu. </w:t>
      </w:r>
      <w:r w:rsidR="008F61BE" w:rsidRPr="00BE7E3B">
        <w:rPr>
          <w:rFonts w:ascii="Arial" w:hAnsi="Arial" w:cs="Arial"/>
          <w:sz w:val="24"/>
          <w:szCs w:val="24"/>
        </w:rPr>
        <w:t>O</w:t>
      </w:r>
      <w:r w:rsidR="00724806" w:rsidRPr="00BE7E3B">
        <w:rPr>
          <w:rFonts w:ascii="Arial" w:hAnsi="Arial" w:cs="Arial"/>
          <w:sz w:val="24"/>
          <w:szCs w:val="24"/>
        </w:rPr>
        <w:t xml:space="preserve">proti stávající úpravě </w:t>
      </w:r>
      <w:r w:rsidR="008F61BE" w:rsidRPr="00BE7E3B">
        <w:rPr>
          <w:rFonts w:ascii="Arial" w:hAnsi="Arial" w:cs="Arial"/>
          <w:sz w:val="24"/>
          <w:szCs w:val="24"/>
        </w:rPr>
        <w:t>dochází k následujícím změnám:</w:t>
      </w:r>
    </w:p>
    <w:p w:rsidR="008F61BE" w:rsidRPr="00BE7E3B" w:rsidRDefault="007B28AC" w:rsidP="00E44693">
      <w:pPr>
        <w:pStyle w:val="Odstavecseseznamem"/>
        <w:numPr>
          <w:ilvl w:val="0"/>
          <w:numId w:val="5"/>
        </w:numPr>
        <w:tabs>
          <w:tab w:val="left" w:pos="567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 xml:space="preserve">Zavedení dvou nových údajů, jejichž změny bude fyzická osoba </w:t>
      </w:r>
      <w:r w:rsidR="00543F36" w:rsidRPr="00BE7E3B">
        <w:rPr>
          <w:rFonts w:ascii="Arial" w:hAnsi="Arial" w:cs="Arial"/>
          <w:sz w:val="24"/>
          <w:szCs w:val="24"/>
        </w:rPr>
        <w:t xml:space="preserve">oproti současné právní úpravě </w:t>
      </w:r>
      <w:r w:rsidRPr="00BE7E3B">
        <w:rPr>
          <w:rFonts w:ascii="Arial" w:hAnsi="Arial" w:cs="Arial"/>
          <w:sz w:val="24"/>
          <w:szCs w:val="24"/>
        </w:rPr>
        <w:t>povinna oznamovat N</w:t>
      </w:r>
      <w:r w:rsidR="00543F36" w:rsidRPr="00BE7E3B">
        <w:rPr>
          <w:rFonts w:ascii="Arial" w:hAnsi="Arial" w:cs="Arial"/>
          <w:sz w:val="24"/>
          <w:szCs w:val="24"/>
        </w:rPr>
        <w:t>BÚ</w:t>
      </w:r>
      <w:r w:rsidR="00C66A21" w:rsidRPr="00BE7E3B">
        <w:rPr>
          <w:rFonts w:ascii="Arial" w:hAnsi="Arial" w:cs="Arial"/>
          <w:sz w:val="24"/>
          <w:szCs w:val="24"/>
        </w:rPr>
        <w:t xml:space="preserve">. </w:t>
      </w:r>
      <w:r w:rsidR="00543F36" w:rsidRPr="00BE7E3B">
        <w:rPr>
          <w:rFonts w:ascii="Arial" w:hAnsi="Arial" w:cs="Arial"/>
          <w:sz w:val="24"/>
          <w:szCs w:val="24"/>
        </w:rPr>
        <w:t xml:space="preserve">Jedná se o </w:t>
      </w:r>
      <w:r w:rsidRPr="00BE7E3B">
        <w:rPr>
          <w:rFonts w:ascii="Arial" w:hAnsi="Arial" w:cs="Arial"/>
          <w:sz w:val="24"/>
          <w:szCs w:val="24"/>
        </w:rPr>
        <w:t>léčb</w:t>
      </w:r>
      <w:r w:rsidR="00543F36" w:rsidRPr="00BE7E3B">
        <w:rPr>
          <w:rFonts w:ascii="Arial" w:hAnsi="Arial" w:cs="Arial"/>
          <w:sz w:val="24"/>
          <w:szCs w:val="24"/>
        </w:rPr>
        <w:t>u</w:t>
      </w:r>
      <w:r w:rsidRPr="00BE7E3B">
        <w:rPr>
          <w:rFonts w:ascii="Arial" w:hAnsi="Arial" w:cs="Arial"/>
          <w:sz w:val="24"/>
          <w:szCs w:val="24"/>
        </w:rPr>
        <w:t xml:space="preserve"> v souvislosti s požíváním alkoholu, užíváním omamných nebo psychotropních látek nebo s účastí na hazardních hrách a </w:t>
      </w:r>
      <w:r w:rsidR="000759BA" w:rsidRPr="00BE7E3B">
        <w:rPr>
          <w:rFonts w:ascii="Arial" w:hAnsi="Arial" w:cs="Arial"/>
          <w:sz w:val="24"/>
          <w:szCs w:val="24"/>
        </w:rPr>
        <w:t xml:space="preserve">dále </w:t>
      </w:r>
      <w:r w:rsidRPr="00BE7E3B">
        <w:rPr>
          <w:rFonts w:ascii="Arial" w:hAnsi="Arial" w:cs="Arial"/>
          <w:sz w:val="24"/>
          <w:szCs w:val="24"/>
        </w:rPr>
        <w:t>změn</w:t>
      </w:r>
      <w:r w:rsidR="00467E87" w:rsidRPr="00BE7E3B">
        <w:rPr>
          <w:rFonts w:ascii="Arial" w:hAnsi="Arial" w:cs="Arial"/>
          <w:sz w:val="24"/>
          <w:szCs w:val="24"/>
        </w:rPr>
        <w:t>y</w:t>
      </w:r>
      <w:r w:rsidRPr="00BE7E3B">
        <w:rPr>
          <w:rFonts w:ascii="Arial" w:hAnsi="Arial" w:cs="Arial"/>
          <w:sz w:val="24"/>
          <w:szCs w:val="24"/>
        </w:rPr>
        <w:t xml:space="preserve"> v prohlášení k osobnostní způsobilosti</w:t>
      </w:r>
      <w:r w:rsidR="00C71E23" w:rsidRPr="00BE7E3B">
        <w:rPr>
          <w:rFonts w:ascii="Arial" w:hAnsi="Arial" w:cs="Arial"/>
          <w:sz w:val="24"/>
          <w:szCs w:val="24"/>
        </w:rPr>
        <w:t>.</w:t>
      </w:r>
      <w:r w:rsidR="00724806" w:rsidRPr="00BE7E3B">
        <w:rPr>
          <w:rFonts w:ascii="Arial" w:hAnsi="Arial" w:cs="Arial"/>
          <w:sz w:val="24"/>
          <w:szCs w:val="24"/>
        </w:rPr>
        <w:t xml:space="preserve"> </w:t>
      </w:r>
    </w:p>
    <w:p w:rsidR="008F61BE" w:rsidRPr="00BE7E3B" w:rsidRDefault="00C71E23" w:rsidP="00E44693">
      <w:pPr>
        <w:pStyle w:val="Odstavecseseznamem"/>
        <w:numPr>
          <w:ilvl w:val="0"/>
          <w:numId w:val="5"/>
        </w:numPr>
        <w:tabs>
          <w:tab w:val="left" w:pos="567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 xml:space="preserve">Upravuje se </w:t>
      </w:r>
      <w:r w:rsidR="000759BA" w:rsidRPr="00BE7E3B">
        <w:rPr>
          <w:rFonts w:ascii="Arial" w:hAnsi="Arial" w:cs="Arial"/>
          <w:sz w:val="24"/>
          <w:szCs w:val="24"/>
        </w:rPr>
        <w:t>struktura</w:t>
      </w:r>
      <w:r w:rsidRPr="00BE7E3B">
        <w:rPr>
          <w:rFonts w:ascii="Arial" w:hAnsi="Arial" w:cs="Arial"/>
          <w:sz w:val="24"/>
          <w:szCs w:val="24"/>
        </w:rPr>
        <w:t xml:space="preserve"> oznamován</w:t>
      </w:r>
      <w:r w:rsidR="000759BA" w:rsidRPr="00BE7E3B">
        <w:rPr>
          <w:rFonts w:ascii="Arial" w:hAnsi="Arial" w:cs="Arial"/>
          <w:sz w:val="24"/>
          <w:szCs w:val="24"/>
        </w:rPr>
        <w:t>í</w:t>
      </w:r>
      <w:r w:rsidRPr="00BE7E3B">
        <w:rPr>
          <w:rFonts w:ascii="Arial" w:hAnsi="Arial" w:cs="Arial"/>
          <w:sz w:val="24"/>
          <w:szCs w:val="24"/>
        </w:rPr>
        <w:t xml:space="preserve"> změn v položkách nabytí nemovitého majetku v zahraničí a</w:t>
      </w:r>
      <w:r w:rsidR="0000656C" w:rsidRPr="00BE7E3B">
        <w:rPr>
          <w:rFonts w:ascii="Arial" w:hAnsi="Arial" w:cs="Arial"/>
          <w:sz w:val="24"/>
          <w:szCs w:val="24"/>
        </w:rPr>
        <w:t> </w:t>
      </w:r>
      <w:r w:rsidRPr="00BE7E3B">
        <w:rPr>
          <w:rFonts w:ascii="Arial" w:hAnsi="Arial" w:cs="Arial"/>
          <w:sz w:val="24"/>
          <w:szCs w:val="24"/>
        </w:rPr>
        <w:t>finanční</w:t>
      </w:r>
      <w:r w:rsidR="000759BA" w:rsidRPr="00BE7E3B">
        <w:rPr>
          <w:rFonts w:ascii="Arial" w:hAnsi="Arial" w:cs="Arial"/>
          <w:sz w:val="24"/>
          <w:szCs w:val="24"/>
        </w:rPr>
        <w:t>ch</w:t>
      </w:r>
      <w:r w:rsidRPr="00BE7E3B">
        <w:rPr>
          <w:rFonts w:ascii="Arial" w:hAnsi="Arial" w:cs="Arial"/>
          <w:sz w:val="24"/>
          <w:szCs w:val="24"/>
        </w:rPr>
        <w:t xml:space="preserve"> závazk</w:t>
      </w:r>
      <w:r w:rsidR="000759BA" w:rsidRPr="00BE7E3B">
        <w:rPr>
          <w:rFonts w:ascii="Arial" w:hAnsi="Arial" w:cs="Arial"/>
          <w:sz w:val="24"/>
          <w:szCs w:val="24"/>
        </w:rPr>
        <w:t>ů</w:t>
      </w:r>
      <w:r w:rsidRPr="00BE7E3B">
        <w:rPr>
          <w:rFonts w:ascii="Arial" w:hAnsi="Arial" w:cs="Arial"/>
          <w:sz w:val="24"/>
          <w:szCs w:val="24"/>
        </w:rPr>
        <w:t xml:space="preserve"> mezi fyzickými osobami, které nově boudou oznamovány v roz</w:t>
      </w:r>
      <w:r w:rsidR="009B1418" w:rsidRPr="00BE7E3B">
        <w:rPr>
          <w:rFonts w:ascii="Arial" w:hAnsi="Arial" w:cs="Arial"/>
          <w:sz w:val="24"/>
          <w:szCs w:val="24"/>
        </w:rPr>
        <w:t>s</w:t>
      </w:r>
      <w:r w:rsidRPr="00BE7E3B">
        <w:rPr>
          <w:rFonts w:ascii="Arial" w:hAnsi="Arial" w:cs="Arial"/>
          <w:sz w:val="24"/>
          <w:szCs w:val="24"/>
        </w:rPr>
        <w:t xml:space="preserve">ahu položek dotazníku, neboť jejich oznamování volnou formou bylo v praxi často oznamováno </w:t>
      </w:r>
      <w:r w:rsidR="00467E87" w:rsidRPr="00BE7E3B">
        <w:rPr>
          <w:rFonts w:ascii="Arial" w:hAnsi="Arial" w:cs="Arial"/>
          <w:sz w:val="24"/>
          <w:szCs w:val="24"/>
        </w:rPr>
        <w:t>chybně</w:t>
      </w:r>
      <w:r w:rsidRPr="00BE7E3B">
        <w:rPr>
          <w:rFonts w:ascii="Arial" w:hAnsi="Arial" w:cs="Arial"/>
          <w:sz w:val="24"/>
          <w:szCs w:val="24"/>
        </w:rPr>
        <w:t>.</w:t>
      </w:r>
    </w:p>
    <w:p w:rsidR="00C71E23" w:rsidRPr="00BE7E3B" w:rsidRDefault="00C71E23" w:rsidP="00E44693">
      <w:pPr>
        <w:pStyle w:val="Odstavecseseznamem"/>
        <w:numPr>
          <w:ilvl w:val="0"/>
          <w:numId w:val="5"/>
        </w:numPr>
        <w:tabs>
          <w:tab w:val="left" w:pos="567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>v položkách dotazníku fyzické osoby pak dochází k těmto změnám:</w:t>
      </w:r>
    </w:p>
    <w:p w:rsidR="00D01476" w:rsidRPr="00BE7E3B" w:rsidRDefault="00C71E23" w:rsidP="00C71E23">
      <w:pPr>
        <w:pStyle w:val="Odstavecseseznamem"/>
        <w:numPr>
          <w:ilvl w:val="0"/>
          <w:numId w:val="6"/>
        </w:numPr>
        <w:tabs>
          <w:tab w:val="left" w:pos="567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>upřesnění údajů ve vztahu k adrese místa trvalého pobytu, adrese pro účely doručování a</w:t>
      </w:r>
      <w:r w:rsidR="0000656C" w:rsidRPr="00BE7E3B">
        <w:rPr>
          <w:rFonts w:ascii="Arial" w:hAnsi="Arial" w:cs="Arial"/>
          <w:sz w:val="24"/>
          <w:szCs w:val="24"/>
        </w:rPr>
        <w:t> </w:t>
      </w:r>
      <w:r w:rsidR="003E233A" w:rsidRPr="00BE7E3B">
        <w:rPr>
          <w:rFonts w:ascii="Arial" w:hAnsi="Arial" w:cs="Arial"/>
          <w:sz w:val="24"/>
          <w:szCs w:val="24"/>
        </w:rPr>
        <w:t xml:space="preserve">k </w:t>
      </w:r>
      <w:r w:rsidRPr="00BE7E3B">
        <w:rPr>
          <w:rFonts w:ascii="Arial" w:hAnsi="Arial" w:cs="Arial"/>
          <w:sz w:val="24"/>
          <w:szCs w:val="24"/>
        </w:rPr>
        <w:t>adrese jiného místa, kde se žadatel zdržuje déle než 90 dní,</w:t>
      </w:r>
    </w:p>
    <w:p w:rsidR="00C71E23" w:rsidRPr="00BE7E3B" w:rsidRDefault="003E233A" w:rsidP="00C71E23">
      <w:pPr>
        <w:pStyle w:val="Odstavecseseznamem"/>
        <w:numPr>
          <w:ilvl w:val="0"/>
          <w:numId w:val="6"/>
        </w:numPr>
        <w:tabs>
          <w:tab w:val="left" w:pos="567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 xml:space="preserve">zpřesnění položky </w:t>
      </w:r>
      <w:r w:rsidR="00467E87" w:rsidRPr="00BE7E3B">
        <w:rPr>
          <w:rFonts w:ascii="Arial" w:hAnsi="Arial" w:cs="Arial"/>
          <w:sz w:val="24"/>
          <w:szCs w:val="24"/>
        </w:rPr>
        <w:t xml:space="preserve">finance, </w:t>
      </w:r>
      <w:r w:rsidRPr="00BE7E3B">
        <w:rPr>
          <w:rFonts w:ascii="Arial" w:hAnsi="Arial" w:cs="Arial"/>
          <w:sz w:val="24"/>
          <w:szCs w:val="24"/>
        </w:rPr>
        <w:t>movitý majetek</w:t>
      </w:r>
      <w:r w:rsidR="00467E87" w:rsidRPr="00BE7E3B">
        <w:rPr>
          <w:rFonts w:ascii="Arial" w:hAnsi="Arial" w:cs="Arial"/>
          <w:sz w:val="24"/>
          <w:szCs w:val="24"/>
        </w:rPr>
        <w:t>, finanční pohledávky a nařízené výkony rozhodnutí</w:t>
      </w:r>
      <w:r w:rsidRPr="00BE7E3B">
        <w:rPr>
          <w:rFonts w:ascii="Arial" w:hAnsi="Arial" w:cs="Arial"/>
          <w:sz w:val="24"/>
          <w:szCs w:val="24"/>
        </w:rPr>
        <w:t>,</w:t>
      </w:r>
    </w:p>
    <w:p w:rsidR="003E233A" w:rsidRPr="00BE7E3B" w:rsidRDefault="003E233A" w:rsidP="00C71E23">
      <w:pPr>
        <w:pStyle w:val="Odstavecseseznamem"/>
        <w:numPr>
          <w:ilvl w:val="0"/>
          <w:numId w:val="6"/>
        </w:numPr>
        <w:tabs>
          <w:tab w:val="left" w:pos="567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 xml:space="preserve">terminologické zpřesnění položky </w:t>
      </w:r>
      <w:r w:rsidR="00467E87" w:rsidRPr="00BE7E3B">
        <w:rPr>
          <w:rFonts w:ascii="Arial" w:hAnsi="Arial" w:cs="Arial"/>
          <w:sz w:val="24"/>
          <w:szCs w:val="24"/>
        </w:rPr>
        <w:t xml:space="preserve">č. </w:t>
      </w:r>
      <w:r w:rsidRPr="00BE7E3B">
        <w:rPr>
          <w:rFonts w:ascii="Arial" w:hAnsi="Arial" w:cs="Arial"/>
          <w:sz w:val="24"/>
          <w:szCs w:val="24"/>
        </w:rPr>
        <w:t xml:space="preserve">16 dotazníku (užívání omamné nebo psychotropní látky, požívání alkoholu, účast na hazardních hrách nebo související léčba) s ohledem na aktuální právní úpravu, jakož i upřesnění </w:t>
      </w:r>
      <w:r w:rsidRPr="00BE7E3B">
        <w:rPr>
          <w:rFonts w:ascii="Arial" w:hAnsi="Arial" w:cs="Arial"/>
          <w:sz w:val="24"/>
          <w:szCs w:val="24"/>
        </w:rPr>
        <w:lastRenderedPageBreak/>
        <w:t xml:space="preserve">této položky </w:t>
      </w:r>
      <w:r w:rsidR="00AA4A96" w:rsidRPr="00BE7E3B">
        <w:rPr>
          <w:rFonts w:ascii="Arial" w:hAnsi="Arial" w:cs="Arial"/>
          <w:sz w:val="24"/>
          <w:szCs w:val="24"/>
        </w:rPr>
        <w:t>s cílem srozumitelně popsat potřebné údaje od žadatelů a tím snížit administrativní zátěž související s žádostmi o</w:t>
      </w:r>
      <w:r w:rsidR="0000656C" w:rsidRPr="00BE7E3B">
        <w:rPr>
          <w:rFonts w:ascii="Arial" w:hAnsi="Arial" w:cs="Arial"/>
          <w:sz w:val="24"/>
          <w:szCs w:val="24"/>
        </w:rPr>
        <w:t> </w:t>
      </w:r>
      <w:r w:rsidR="00AA4A96" w:rsidRPr="00BE7E3B">
        <w:rPr>
          <w:rFonts w:ascii="Arial" w:hAnsi="Arial" w:cs="Arial"/>
          <w:sz w:val="24"/>
          <w:szCs w:val="24"/>
        </w:rPr>
        <w:t xml:space="preserve">upřesnění údajů uvedených v dotazníku a rovněž </w:t>
      </w:r>
      <w:r w:rsidRPr="00BE7E3B">
        <w:rPr>
          <w:rFonts w:ascii="Arial" w:hAnsi="Arial" w:cs="Arial"/>
          <w:sz w:val="24"/>
          <w:szCs w:val="24"/>
        </w:rPr>
        <w:t>získání relevantních údajů nutných pro posouzení splnění podmínek pro vydání osvědčení fyzické osoby nebo dokladu</w:t>
      </w:r>
    </w:p>
    <w:p w:rsidR="002C6E95" w:rsidRPr="00BE7E3B" w:rsidRDefault="002C6E95" w:rsidP="000759BA">
      <w:pPr>
        <w:tabs>
          <w:tab w:val="left" w:pos="567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B64A68" w:rsidRPr="00BE7E3B" w:rsidRDefault="00B64A68" w:rsidP="00BE7E3B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E7E3B">
        <w:rPr>
          <w:rFonts w:ascii="Arial" w:hAnsi="Arial" w:cs="Arial"/>
          <w:b/>
          <w:bCs/>
          <w:sz w:val="24"/>
          <w:szCs w:val="24"/>
          <w:u w:val="single"/>
        </w:rPr>
        <w:t>Zhodnocení souladu navrhované právní úpravy se zákonem, k jehož provedení je navržena, včetně souladu se zákonným zmocněním k jejímu vydání</w:t>
      </w:r>
      <w:r w:rsidR="002041CE" w:rsidRPr="00BE7E3B">
        <w:rPr>
          <w:rFonts w:ascii="Arial" w:hAnsi="Arial" w:cs="Arial"/>
          <w:b/>
          <w:bCs/>
          <w:sz w:val="24"/>
          <w:szCs w:val="24"/>
          <w:u w:val="single"/>
        </w:rPr>
        <w:t xml:space="preserve"> a zároveň</w:t>
      </w:r>
      <w:r w:rsidR="002041CE" w:rsidRPr="00BE7E3B">
        <w:rPr>
          <w:rFonts w:ascii="Arial" w:hAnsi="Arial" w:cs="Arial"/>
          <w:b/>
          <w:sz w:val="24"/>
          <w:szCs w:val="24"/>
          <w:u w:val="single"/>
        </w:rPr>
        <w:t xml:space="preserve"> zhodnocení souladu navrhované právní úpravy s předpisy Evropské unie, judikaturou soudních orgánů Evropské unie a obecnými právními zásadami práva Evropské unie</w:t>
      </w:r>
    </w:p>
    <w:p w:rsidR="00D6284E" w:rsidRPr="00BE7E3B" w:rsidRDefault="00B64A68" w:rsidP="00AD661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ab/>
        <w:t>Návrh vyhlášky je v souladu se zákonem, k jehož provedení se navrhuje.</w:t>
      </w:r>
      <w:r w:rsidR="00B4687A" w:rsidRPr="00BE7E3B">
        <w:rPr>
          <w:rFonts w:ascii="Arial" w:hAnsi="Arial" w:cs="Arial"/>
          <w:sz w:val="24"/>
          <w:szCs w:val="24"/>
        </w:rPr>
        <w:t xml:space="preserve"> Předkládaný návrh vyhlášky naplňuje zákonné zmocnění uvedené v</w:t>
      </w:r>
      <w:r w:rsidR="006A5073">
        <w:rPr>
          <w:rFonts w:ascii="Arial" w:hAnsi="Arial" w:cs="Arial"/>
          <w:sz w:val="24"/>
          <w:szCs w:val="24"/>
        </w:rPr>
        <w:t> </w:t>
      </w:r>
      <w:r w:rsidR="00B4687A" w:rsidRPr="00BE7E3B">
        <w:rPr>
          <w:rFonts w:ascii="Arial" w:hAnsi="Arial" w:cs="Arial"/>
          <w:sz w:val="24"/>
          <w:szCs w:val="24"/>
        </w:rPr>
        <w:t>ustanovení</w:t>
      </w:r>
      <w:r w:rsidR="006A5073">
        <w:rPr>
          <w:rFonts w:ascii="Arial" w:hAnsi="Arial" w:cs="Arial"/>
          <w:sz w:val="24"/>
          <w:szCs w:val="24"/>
        </w:rPr>
        <w:br/>
      </w:r>
      <w:r w:rsidR="00B4687A" w:rsidRPr="00BE7E3B">
        <w:rPr>
          <w:rFonts w:ascii="Arial" w:hAnsi="Arial" w:cs="Arial"/>
          <w:sz w:val="24"/>
          <w:szCs w:val="24"/>
        </w:rPr>
        <w:t xml:space="preserve"> § 135 písm. </w:t>
      </w:r>
      <w:r w:rsidR="00517497" w:rsidRPr="00BE7E3B">
        <w:rPr>
          <w:rFonts w:ascii="Arial" w:hAnsi="Arial" w:cs="Arial"/>
          <w:sz w:val="24"/>
          <w:szCs w:val="24"/>
        </w:rPr>
        <w:t>f</w:t>
      </w:r>
      <w:r w:rsidR="008F61BE" w:rsidRPr="00BE7E3B">
        <w:rPr>
          <w:rFonts w:ascii="Arial" w:hAnsi="Arial" w:cs="Arial"/>
          <w:sz w:val="24"/>
          <w:szCs w:val="24"/>
        </w:rPr>
        <w:t xml:space="preserve">) a j) </w:t>
      </w:r>
      <w:r w:rsidR="00B4687A" w:rsidRPr="00BE7E3B">
        <w:rPr>
          <w:rFonts w:ascii="Arial" w:hAnsi="Arial" w:cs="Arial"/>
          <w:sz w:val="24"/>
          <w:szCs w:val="24"/>
        </w:rPr>
        <w:t>zákona a je s ním v souladu.</w:t>
      </w:r>
    </w:p>
    <w:p w:rsidR="00B64A68" w:rsidRPr="00BE7E3B" w:rsidRDefault="00B64A68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ab/>
      </w:r>
      <w:r w:rsidRPr="00BE7E3B">
        <w:rPr>
          <w:rFonts w:ascii="Arial" w:eastAsia="Calibri" w:hAnsi="Arial" w:cs="Arial"/>
          <w:sz w:val="24"/>
          <w:szCs w:val="24"/>
        </w:rPr>
        <w:t xml:space="preserve">Návrh vyhlášky </w:t>
      </w:r>
      <w:r w:rsidRPr="00BE7E3B">
        <w:rPr>
          <w:rFonts w:ascii="Arial" w:hAnsi="Arial" w:cs="Arial"/>
          <w:bCs/>
          <w:sz w:val="24"/>
          <w:szCs w:val="24"/>
        </w:rPr>
        <w:t xml:space="preserve">je plně v souladu s dosud uzavřenými mezinárodními smlouvami, upravujícími oblast výměny a vzájemné ochrany utajovaných informací. Návrh vyhlášky je rovněž v souladu s mezinárodními smlouvami, jimiž je Česká republika vázána, a je plně slučitelný s předpisy Evropské unie a NATO, není </w:t>
      </w:r>
      <w:r w:rsidRPr="00BE7E3B">
        <w:rPr>
          <w:rFonts w:ascii="Arial" w:hAnsi="Arial" w:cs="Arial"/>
          <w:sz w:val="24"/>
          <w:szCs w:val="24"/>
        </w:rPr>
        <w:t xml:space="preserve">v rozporu </w:t>
      </w:r>
      <w:r w:rsidR="006A5073">
        <w:rPr>
          <w:rFonts w:ascii="Arial" w:hAnsi="Arial" w:cs="Arial"/>
          <w:sz w:val="24"/>
          <w:szCs w:val="24"/>
        </w:rPr>
        <w:br/>
      </w:r>
      <w:r w:rsidRPr="00BE7E3B">
        <w:rPr>
          <w:rFonts w:ascii="Arial" w:hAnsi="Arial" w:cs="Arial"/>
          <w:sz w:val="24"/>
          <w:szCs w:val="24"/>
        </w:rPr>
        <w:t>s</w:t>
      </w:r>
      <w:r w:rsidRPr="00BE7E3B">
        <w:rPr>
          <w:rFonts w:ascii="Arial" w:hAnsi="Arial" w:cs="Arial"/>
          <w:b/>
          <w:sz w:val="24"/>
          <w:szCs w:val="24"/>
        </w:rPr>
        <w:t xml:space="preserve"> </w:t>
      </w:r>
      <w:r w:rsidRPr="00BE7E3B">
        <w:rPr>
          <w:rFonts w:ascii="Arial" w:hAnsi="Arial" w:cs="Arial"/>
          <w:bCs/>
          <w:sz w:val="24"/>
          <w:szCs w:val="24"/>
        </w:rPr>
        <w:t>judikaturou soudních orgánů Evropské unie a je v souladu s obecnými právními zásadami práva Evropské unie</w:t>
      </w:r>
      <w:r w:rsidRPr="00BE7E3B">
        <w:rPr>
          <w:rFonts w:ascii="Arial" w:hAnsi="Arial" w:cs="Arial"/>
          <w:sz w:val="24"/>
          <w:szCs w:val="24"/>
        </w:rPr>
        <w:t xml:space="preserve"> (např. zásada právní jistoty, proporcionality a zákazu diskriminace). </w:t>
      </w:r>
    </w:p>
    <w:p w:rsidR="00B64A68" w:rsidRPr="00BE7E3B" w:rsidRDefault="00B64A68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ab/>
      </w:r>
      <w:r w:rsidRPr="00BE7E3B">
        <w:rPr>
          <w:rFonts w:ascii="Arial" w:hAnsi="Arial" w:cs="Arial"/>
          <w:bCs/>
          <w:sz w:val="24"/>
          <w:szCs w:val="24"/>
        </w:rPr>
        <w:t>Na o</w:t>
      </w:r>
      <w:r w:rsidRPr="00BE7E3B">
        <w:rPr>
          <w:rFonts w:ascii="Arial" w:hAnsi="Arial" w:cs="Arial"/>
          <w:iCs/>
          <w:sz w:val="24"/>
          <w:szCs w:val="24"/>
        </w:rPr>
        <w:t>blast ochrany utajovaných informací se vztahují především tyto sekundární předpisy Evropské unie:</w:t>
      </w:r>
    </w:p>
    <w:p w:rsidR="00B64A68" w:rsidRPr="00BE7E3B" w:rsidRDefault="00B64A68" w:rsidP="00D6284E">
      <w:pPr>
        <w:tabs>
          <w:tab w:val="left" w:pos="426"/>
        </w:tabs>
        <w:spacing w:after="120" w:line="276" w:lineRule="auto"/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BE7E3B">
        <w:rPr>
          <w:rFonts w:ascii="Arial" w:hAnsi="Arial" w:cs="Arial"/>
          <w:bCs/>
          <w:sz w:val="24"/>
          <w:szCs w:val="24"/>
        </w:rPr>
        <w:t xml:space="preserve">- rozhodnutí Komise (EU, Euratom) 2015/444 ze dne 13. března 2015 </w:t>
      </w:r>
      <w:r w:rsidR="006A5073">
        <w:rPr>
          <w:rFonts w:ascii="Arial" w:hAnsi="Arial" w:cs="Arial"/>
          <w:bCs/>
          <w:sz w:val="24"/>
          <w:szCs w:val="24"/>
        </w:rPr>
        <w:br/>
      </w:r>
      <w:r w:rsidRPr="00BE7E3B">
        <w:rPr>
          <w:rFonts w:ascii="Arial" w:hAnsi="Arial" w:cs="Arial"/>
          <w:bCs/>
          <w:sz w:val="24"/>
          <w:szCs w:val="24"/>
        </w:rPr>
        <w:t>o bezpečnostních pravidlech na ochranu utajovaných informací EU;</w:t>
      </w:r>
    </w:p>
    <w:p w:rsidR="00B64A68" w:rsidRPr="00BE7E3B" w:rsidRDefault="00B64A68" w:rsidP="00D6284E">
      <w:pPr>
        <w:tabs>
          <w:tab w:val="left" w:pos="426"/>
        </w:tabs>
        <w:spacing w:after="120" w:line="276" w:lineRule="auto"/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BE7E3B">
        <w:rPr>
          <w:rFonts w:ascii="Arial" w:hAnsi="Arial" w:cs="Arial"/>
          <w:bCs/>
          <w:sz w:val="24"/>
          <w:szCs w:val="24"/>
        </w:rPr>
        <w:t>- rozhodnutí Rady 2013/488/EU ze dne 23. září 2013 o bezpečnostních pravidlech na ochranu utajovaných informací EU, v konsolidovaném znění;</w:t>
      </w:r>
    </w:p>
    <w:p w:rsidR="00B64A68" w:rsidRPr="00BE7E3B" w:rsidRDefault="00B64A68" w:rsidP="00D6284E">
      <w:pPr>
        <w:tabs>
          <w:tab w:val="left" w:pos="426"/>
        </w:tabs>
        <w:spacing w:after="120" w:line="276" w:lineRule="auto"/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BE7E3B">
        <w:rPr>
          <w:rFonts w:ascii="Arial" w:hAnsi="Arial" w:cs="Arial"/>
          <w:bCs/>
          <w:sz w:val="24"/>
          <w:szCs w:val="24"/>
        </w:rPr>
        <w:t>- nařízení Rady Euratom č. 3, kterým se provádí článek 24 Smlouvy o založení Evropského společenství pro atomovou energii (</w:t>
      </w:r>
      <w:r w:rsidR="0000656C" w:rsidRPr="00BE7E3B">
        <w:rPr>
          <w:rFonts w:ascii="Arial" w:hAnsi="Arial" w:cs="Arial"/>
          <w:bCs/>
          <w:sz w:val="24"/>
          <w:szCs w:val="24"/>
        </w:rPr>
        <w:t>CELEX</w:t>
      </w:r>
      <w:r w:rsidRPr="00BE7E3B">
        <w:rPr>
          <w:rFonts w:ascii="Arial" w:hAnsi="Arial" w:cs="Arial"/>
          <w:bCs/>
          <w:sz w:val="24"/>
          <w:szCs w:val="24"/>
        </w:rPr>
        <w:t xml:space="preserve"> 31958R0003).</w:t>
      </w:r>
    </w:p>
    <w:p w:rsidR="00B64A68" w:rsidRPr="00BE7E3B" w:rsidRDefault="00B64A68" w:rsidP="00D6284E">
      <w:pPr>
        <w:spacing w:after="120"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E7E3B">
        <w:rPr>
          <w:rFonts w:ascii="Arial" w:hAnsi="Arial" w:cs="Arial"/>
          <w:bCs/>
          <w:sz w:val="24"/>
          <w:szCs w:val="24"/>
        </w:rPr>
        <w:t xml:space="preserve">Oblast úpravy, jež je dotčena předkládanou novelou, však není výše zmíněnými sekundárními předpisy </w:t>
      </w:r>
      <w:r w:rsidRPr="00BE7E3B">
        <w:rPr>
          <w:rFonts w:ascii="Arial" w:hAnsi="Arial" w:cs="Arial"/>
          <w:iCs/>
          <w:sz w:val="24"/>
          <w:szCs w:val="24"/>
        </w:rPr>
        <w:t>Evropské unie</w:t>
      </w:r>
      <w:r w:rsidRPr="00BE7E3B">
        <w:rPr>
          <w:rFonts w:ascii="Arial" w:hAnsi="Arial" w:cs="Arial"/>
          <w:bCs/>
          <w:sz w:val="24"/>
          <w:szCs w:val="24"/>
        </w:rPr>
        <w:t xml:space="preserve"> přímo upravena.</w:t>
      </w:r>
    </w:p>
    <w:p w:rsidR="00D6284E" w:rsidRDefault="00B64A68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ab/>
        <w:t xml:space="preserve">V případě závazků k Organizaci Severoatlantické smlouvy jde zejména o Dohodu mezi smluvními stranami Severoatlantické smlouvy o bezpečnosti informací (uveřejněna sdělením Ministerstva zahraničních věcí č. 75/2000 Sb. m. s.) </w:t>
      </w:r>
      <w:r w:rsidR="006A5073">
        <w:rPr>
          <w:rFonts w:ascii="Arial" w:hAnsi="Arial" w:cs="Arial"/>
          <w:sz w:val="24"/>
          <w:szCs w:val="24"/>
        </w:rPr>
        <w:br/>
      </w:r>
      <w:r w:rsidRPr="00BE7E3B">
        <w:rPr>
          <w:rFonts w:ascii="Arial" w:hAnsi="Arial" w:cs="Arial"/>
          <w:sz w:val="24"/>
          <w:szCs w:val="24"/>
        </w:rPr>
        <w:t>a o bezpečnostní standardy NATO (bezpečnostní směrnice C-M (2002)49 - Bezpečnost v rámci NATO z dubna 2002).</w:t>
      </w:r>
    </w:p>
    <w:p w:rsidR="00C53928" w:rsidRPr="00BE7E3B" w:rsidRDefault="00C53928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9B5E61" w:rsidRPr="00BE7E3B" w:rsidRDefault="009B5E61" w:rsidP="00D6284E">
      <w:pPr>
        <w:pStyle w:val="Zkladntextodsazen31"/>
        <w:spacing w:after="120" w:line="276" w:lineRule="auto"/>
        <w:ind w:left="0"/>
        <w:rPr>
          <w:rFonts w:ascii="Arial" w:hAnsi="Arial" w:cs="Arial"/>
          <w:b/>
          <w:bCs/>
          <w:szCs w:val="24"/>
          <w:u w:val="single"/>
        </w:rPr>
      </w:pPr>
      <w:r w:rsidRPr="00BE7E3B">
        <w:rPr>
          <w:rFonts w:ascii="Arial" w:hAnsi="Arial" w:cs="Arial"/>
          <w:b/>
          <w:bCs/>
          <w:szCs w:val="24"/>
          <w:u w:val="single"/>
        </w:rPr>
        <w:t>Zhodnocení platného právního stavu a odůvodnění nezbytnosti jeho změny</w:t>
      </w:r>
    </w:p>
    <w:p w:rsidR="00961722" w:rsidRPr="00BE7E3B" w:rsidRDefault="00090FEE" w:rsidP="00D6284E">
      <w:pPr>
        <w:pStyle w:val="Zkladntextodsazen31"/>
        <w:spacing w:after="120" w:line="276" w:lineRule="auto"/>
        <w:ind w:left="0"/>
        <w:rPr>
          <w:rFonts w:ascii="Arial" w:hAnsi="Arial" w:cs="Arial"/>
          <w:bCs/>
          <w:szCs w:val="24"/>
        </w:rPr>
      </w:pPr>
      <w:r w:rsidRPr="00BE7E3B">
        <w:rPr>
          <w:rFonts w:ascii="Arial" w:hAnsi="Arial" w:cs="Arial"/>
          <w:bCs/>
          <w:szCs w:val="24"/>
        </w:rPr>
        <w:tab/>
        <w:t xml:space="preserve">Stávající právní úprava neumožňuje </w:t>
      </w:r>
      <w:r w:rsidR="000759BA" w:rsidRPr="00BE7E3B">
        <w:rPr>
          <w:rFonts w:ascii="Arial" w:hAnsi="Arial" w:cs="Arial"/>
          <w:bCs/>
          <w:szCs w:val="24"/>
        </w:rPr>
        <w:t>NBÚ</w:t>
      </w:r>
      <w:r w:rsidRPr="00BE7E3B">
        <w:rPr>
          <w:rFonts w:ascii="Arial" w:hAnsi="Arial" w:cs="Arial"/>
          <w:bCs/>
          <w:szCs w:val="24"/>
        </w:rPr>
        <w:t xml:space="preserve"> ověřit, zda držitel osvědčení fyzické osoby, resp. držitel dokladu splňuje podmínku osobnostní způsobilosti po </w:t>
      </w:r>
      <w:r w:rsidR="000759BA" w:rsidRPr="00BE7E3B">
        <w:rPr>
          <w:rFonts w:ascii="Arial" w:hAnsi="Arial" w:cs="Arial"/>
          <w:bCs/>
          <w:szCs w:val="24"/>
        </w:rPr>
        <w:t xml:space="preserve">celou </w:t>
      </w:r>
      <w:r w:rsidRPr="00BE7E3B">
        <w:rPr>
          <w:rFonts w:ascii="Arial" w:hAnsi="Arial" w:cs="Arial"/>
          <w:bCs/>
          <w:szCs w:val="24"/>
        </w:rPr>
        <w:t xml:space="preserve">dobu </w:t>
      </w:r>
      <w:r w:rsidRPr="00BE7E3B">
        <w:rPr>
          <w:rFonts w:ascii="Arial" w:hAnsi="Arial" w:cs="Arial"/>
          <w:bCs/>
          <w:szCs w:val="24"/>
        </w:rPr>
        <w:lastRenderedPageBreak/>
        <w:t xml:space="preserve">platnosti těchto veřejných listin, neboť prohlášení o </w:t>
      </w:r>
      <w:r w:rsidR="00961722" w:rsidRPr="00BE7E3B">
        <w:rPr>
          <w:rFonts w:ascii="Arial" w:hAnsi="Arial" w:cs="Arial"/>
          <w:bCs/>
          <w:szCs w:val="24"/>
        </w:rPr>
        <w:t>o</w:t>
      </w:r>
      <w:r w:rsidRPr="00BE7E3B">
        <w:rPr>
          <w:rFonts w:ascii="Arial" w:hAnsi="Arial" w:cs="Arial"/>
          <w:bCs/>
          <w:szCs w:val="24"/>
        </w:rPr>
        <w:t>sobnostní způsobilosti má za současné právní úpravy pouze v době probíhajícího bezpečnostního řízení o vydání veřejné list</w:t>
      </w:r>
      <w:r w:rsidR="00961722" w:rsidRPr="00BE7E3B">
        <w:rPr>
          <w:rFonts w:ascii="Arial" w:hAnsi="Arial" w:cs="Arial"/>
          <w:bCs/>
          <w:szCs w:val="24"/>
        </w:rPr>
        <w:t>i</w:t>
      </w:r>
      <w:r w:rsidRPr="00BE7E3B">
        <w:rPr>
          <w:rFonts w:ascii="Arial" w:hAnsi="Arial" w:cs="Arial"/>
          <w:bCs/>
          <w:szCs w:val="24"/>
        </w:rPr>
        <w:t xml:space="preserve">ny. </w:t>
      </w:r>
      <w:r w:rsidR="00961722" w:rsidRPr="00BE7E3B">
        <w:rPr>
          <w:rFonts w:ascii="Arial" w:hAnsi="Arial" w:cs="Arial"/>
          <w:bCs/>
          <w:szCs w:val="24"/>
        </w:rPr>
        <w:t>Totožné platí i pro údaje o léčbě v souvislosti s požíváním alkoholu, užíváním omamných nebo psychotropních látek nebo s účastí na hazardních hrách. S cílem zeefktivnit prověřování, zda držitel osvědčení fyzické osoby a držitel dokladu splňuj</w:t>
      </w:r>
      <w:r w:rsidR="00467E87" w:rsidRPr="00BE7E3B">
        <w:rPr>
          <w:rFonts w:ascii="Arial" w:hAnsi="Arial" w:cs="Arial"/>
          <w:bCs/>
          <w:szCs w:val="24"/>
        </w:rPr>
        <w:t>e</w:t>
      </w:r>
      <w:r w:rsidR="00961722" w:rsidRPr="00BE7E3B">
        <w:rPr>
          <w:rFonts w:ascii="Arial" w:hAnsi="Arial" w:cs="Arial"/>
          <w:bCs/>
          <w:szCs w:val="24"/>
        </w:rPr>
        <w:t xml:space="preserve"> všechny podmínky pro jejich vydání stanovené zákonem </w:t>
      </w:r>
      <w:r w:rsidR="00467E87" w:rsidRPr="00BE7E3B">
        <w:rPr>
          <w:rFonts w:ascii="Arial" w:hAnsi="Arial" w:cs="Arial"/>
          <w:bCs/>
          <w:szCs w:val="24"/>
        </w:rPr>
        <w:t xml:space="preserve">i po celou dobu platnosti těchto veřejných listin </w:t>
      </w:r>
      <w:r w:rsidR="000759BA" w:rsidRPr="00BE7E3B">
        <w:rPr>
          <w:rFonts w:ascii="Arial" w:hAnsi="Arial" w:cs="Arial"/>
          <w:bCs/>
          <w:szCs w:val="24"/>
        </w:rPr>
        <w:t>se</w:t>
      </w:r>
      <w:r w:rsidR="00961722" w:rsidRPr="00BE7E3B">
        <w:rPr>
          <w:rFonts w:ascii="Arial" w:hAnsi="Arial" w:cs="Arial"/>
          <w:bCs/>
          <w:szCs w:val="24"/>
        </w:rPr>
        <w:t xml:space="preserve"> proto </w:t>
      </w:r>
      <w:r w:rsidR="000759BA" w:rsidRPr="00BE7E3B">
        <w:rPr>
          <w:rFonts w:ascii="Arial" w:hAnsi="Arial" w:cs="Arial"/>
          <w:bCs/>
          <w:szCs w:val="24"/>
        </w:rPr>
        <w:t xml:space="preserve">navrhuje </w:t>
      </w:r>
      <w:r w:rsidR="00961722" w:rsidRPr="00BE7E3B">
        <w:rPr>
          <w:rFonts w:ascii="Arial" w:hAnsi="Arial" w:cs="Arial"/>
          <w:bCs/>
          <w:szCs w:val="24"/>
        </w:rPr>
        <w:t>dopln</w:t>
      </w:r>
      <w:r w:rsidR="000759BA" w:rsidRPr="00BE7E3B">
        <w:rPr>
          <w:rFonts w:ascii="Arial" w:hAnsi="Arial" w:cs="Arial"/>
          <w:bCs/>
          <w:szCs w:val="24"/>
        </w:rPr>
        <w:t>it</w:t>
      </w:r>
      <w:r w:rsidR="00961722" w:rsidRPr="00BE7E3B">
        <w:rPr>
          <w:rFonts w:ascii="Arial" w:hAnsi="Arial" w:cs="Arial"/>
          <w:bCs/>
          <w:szCs w:val="24"/>
        </w:rPr>
        <w:t xml:space="preserve"> oznamování změn o tyto dva údaje, tj. o změny v prohlášení k osobnostní způsobilosti a změny v léčbě závislostí. Navrhovaná změna vychází z praktických zkušeností, kdy se NBÚ </w:t>
      </w:r>
      <w:r w:rsidR="00467E87" w:rsidRPr="00BE7E3B">
        <w:rPr>
          <w:rFonts w:ascii="Arial" w:hAnsi="Arial" w:cs="Arial"/>
          <w:bCs/>
          <w:szCs w:val="24"/>
        </w:rPr>
        <w:t xml:space="preserve">nezřídka </w:t>
      </w:r>
      <w:r w:rsidR="00961722" w:rsidRPr="00BE7E3B">
        <w:rPr>
          <w:rFonts w:ascii="Arial" w:hAnsi="Arial" w:cs="Arial"/>
          <w:bCs/>
          <w:szCs w:val="24"/>
        </w:rPr>
        <w:t xml:space="preserve">dozvěděl o změněném psychickém stavu držitele veřejné listiny až při opakované žádosti, ačkoliv k těmto změnám došlo </w:t>
      </w:r>
      <w:r w:rsidR="00467E87" w:rsidRPr="00BE7E3B">
        <w:rPr>
          <w:rFonts w:ascii="Arial" w:hAnsi="Arial" w:cs="Arial"/>
          <w:bCs/>
          <w:szCs w:val="24"/>
        </w:rPr>
        <w:t>již v</w:t>
      </w:r>
      <w:r w:rsidR="00961722" w:rsidRPr="00BE7E3B">
        <w:rPr>
          <w:rFonts w:ascii="Arial" w:hAnsi="Arial" w:cs="Arial"/>
          <w:bCs/>
          <w:szCs w:val="24"/>
        </w:rPr>
        <w:t xml:space="preserve"> dob</w:t>
      </w:r>
      <w:r w:rsidR="00467E87" w:rsidRPr="00BE7E3B">
        <w:rPr>
          <w:rFonts w:ascii="Arial" w:hAnsi="Arial" w:cs="Arial"/>
          <w:bCs/>
          <w:szCs w:val="24"/>
        </w:rPr>
        <w:t>ě</w:t>
      </w:r>
      <w:r w:rsidR="00961722" w:rsidRPr="00BE7E3B">
        <w:rPr>
          <w:rFonts w:ascii="Arial" w:hAnsi="Arial" w:cs="Arial"/>
          <w:bCs/>
          <w:szCs w:val="24"/>
        </w:rPr>
        <w:t xml:space="preserve"> platnosti veřejné listiny.</w:t>
      </w:r>
    </w:p>
    <w:p w:rsidR="00090FEE" w:rsidRDefault="00961722" w:rsidP="00D6284E">
      <w:pPr>
        <w:pStyle w:val="Zkladntextodsazen31"/>
        <w:spacing w:after="120" w:line="276" w:lineRule="auto"/>
        <w:ind w:left="0"/>
        <w:rPr>
          <w:rFonts w:ascii="Arial" w:hAnsi="Arial" w:cs="Arial"/>
          <w:bCs/>
          <w:szCs w:val="24"/>
        </w:rPr>
      </w:pPr>
      <w:r w:rsidRPr="00BE7E3B">
        <w:rPr>
          <w:rFonts w:ascii="Arial" w:hAnsi="Arial" w:cs="Arial"/>
          <w:bCs/>
          <w:szCs w:val="24"/>
        </w:rPr>
        <w:tab/>
        <w:t>V aplikační praxi často docházelo k situacím, kdy žadatel o osvědčení fyzické osoby, resp. žadatel o doklad, neúplně nebo nepřesně vyplnil některé položky dotazníku. S cílem odstranit nejčastější nedostatky, kdy byl NBÚ nucen vyzývat žadatele o doplnění neúplných nebo nepřesně uvedených údajů v dotazníku, návrh vyhlášky zpřesňuje některé položky dotazníku</w:t>
      </w:r>
      <w:r w:rsidR="00800D81" w:rsidRPr="00BE7E3B">
        <w:rPr>
          <w:rFonts w:ascii="Arial" w:hAnsi="Arial" w:cs="Arial"/>
          <w:bCs/>
          <w:szCs w:val="24"/>
        </w:rPr>
        <w:t xml:space="preserve"> (adresy místa trvalého pobytu a adresy doručování, </w:t>
      </w:r>
      <w:r w:rsidR="00467E87" w:rsidRPr="00BE7E3B">
        <w:rPr>
          <w:rFonts w:ascii="Arial" w:hAnsi="Arial" w:cs="Arial"/>
          <w:bCs/>
          <w:szCs w:val="24"/>
        </w:rPr>
        <w:t xml:space="preserve">finance, </w:t>
      </w:r>
      <w:r w:rsidR="00800D81" w:rsidRPr="00BE7E3B">
        <w:rPr>
          <w:rFonts w:ascii="Arial" w:hAnsi="Arial" w:cs="Arial"/>
          <w:bCs/>
          <w:szCs w:val="24"/>
        </w:rPr>
        <w:t>movitý majetek,</w:t>
      </w:r>
      <w:r w:rsidR="00467E87" w:rsidRPr="00BE7E3B">
        <w:rPr>
          <w:rFonts w:ascii="Arial" w:hAnsi="Arial" w:cs="Arial"/>
          <w:bCs/>
          <w:szCs w:val="24"/>
        </w:rPr>
        <w:t xml:space="preserve"> finanční pohledávky,</w:t>
      </w:r>
      <w:r w:rsidR="00800D81" w:rsidRPr="00BE7E3B">
        <w:rPr>
          <w:rFonts w:ascii="Arial" w:hAnsi="Arial" w:cs="Arial"/>
          <w:bCs/>
          <w:szCs w:val="24"/>
        </w:rPr>
        <w:t xml:space="preserve"> nařízené výkony rozhodnutí a užívání omamné nebo psychotropní látky, požívání alkoholu nebo účast na hazardních hrách a související léčba). Tato změna by měla </w:t>
      </w:r>
      <w:r w:rsidR="000759BA" w:rsidRPr="00BE7E3B">
        <w:rPr>
          <w:rFonts w:ascii="Arial" w:hAnsi="Arial" w:cs="Arial"/>
          <w:bCs/>
          <w:szCs w:val="24"/>
        </w:rPr>
        <w:t xml:space="preserve">přispět k získání všech relevantních údajů potřebných pro řádné vedení bezpečnostního řízení a </w:t>
      </w:r>
      <w:r w:rsidR="00800D81" w:rsidRPr="00BE7E3B">
        <w:rPr>
          <w:rFonts w:ascii="Arial" w:hAnsi="Arial" w:cs="Arial"/>
          <w:bCs/>
          <w:szCs w:val="24"/>
        </w:rPr>
        <w:t xml:space="preserve">rovněž </w:t>
      </w:r>
      <w:r w:rsidR="000759BA" w:rsidRPr="00BE7E3B">
        <w:rPr>
          <w:rFonts w:ascii="Arial" w:hAnsi="Arial" w:cs="Arial"/>
          <w:bCs/>
          <w:szCs w:val="24"/>
        </w:rPr>
        <w:t xml:space="preserve">i </w:t>
      </w:r>
      <w:r w:rsidR="00800D81" w:rsidRPr="00BE7E3B">
        <w:rPr>
          <w:rFonts w:ascii="Arial" w:hAnsi="Arial" w:cs="Arial"/>
          <w:bCs/>
          <w:szCs w:val="24"/>
        </w:rPr>
        <w:t>ke snížení administrativní zátěže na straně účastníků řízení i samotného NBÚ</w:t>
      </w:r>
      <w:r w:rsidR="002C6E95" w:rsidRPr="00BE7E3B">
        <w:rPr>
          <w:rFonts w:ascii="Arial" w:hAnsi="Arial" w:cs="Arial"/>
          <w:bCs/>
          <w:szCs w:val="24"/>
        </w:rPr>
        <w:t>. Navrhovaná</w:t>
      </w:r>
      <w:r w:rsidR="000759BA" w:rsidRPr="00BE7E3B">
        <w:rPr>
          <w:rFonts w:ascii="Arial" w:hAnsi="Arial" w:cs="Arial"/>
          <w:bCs/>
          <w:szCs w:val="24"/>
        </w:rPr>
        <w:t xml:space="preserve"> </w:t>
      </w:r>
      <w:r w:rsidR="00800D81" w:rsidRPr="00BE7E3B">
        <w:rPr>
          <w:rFonts w:ascii="Arial" w:hAnsi="Arial" w:cs="Arial"/>
          <w:bCs/>
          <w:szCs w:val="24"/>
        </w:rPr>
        <w:t xml:space="preserve">nová úprava </w:t>
      </w:r>
      <w:r w:rsidR="002C6E95" w:rsidRPr="00BE7E3B">
        <w:rPr>
          <w:rFonts w:ascii="Arial" w:hAnsi="Arial" w:cs="Arial"/>
          <w:bCs/>
          <w:szCs w:val="24"/>
        </w:rPr>
        <w:t xml:space="preserve">by tak </w:t>
      </w:r>
      <w:r w:rsidR="000759BA" w:rsidRPr="00BE7E3B">
        <w:rPr>
          <w:rFonts w:ascii="Arial" w:hAnsi="Arial" w:cs="Arial"/>
          <w:bCs/>
          <w:szCs w:val="24"/>
        </w:rPr>
        <w:t xml:space="preserve">měla </w:t>
      </w:r>
      <w:r w:rsidR="002C6E95" w:rsidRPr="00BE7E3B">
        <w:rPr>
          <w:rFonts w:ascii="Arial" w:hAnsi="Arial" w:cs="Arial"/>
          <w:bCs/>
          <w:szCs w:val="24"/>
        </w:rPr>
        <w:t>vést</w:t>
      </w:r>
      <w:r w:rsidR="00800D81" w:rsidRPr="00BE7E3B">
        <w:rPr>
          <w:rFonts w:ascii="Arial" w:hAnsi="Arial" w:cs="Arial"/>
          <w:bCs/>
          <w:szCs w:val="24"/>
        </w:rPr>
        <w:t xml:space="preserve"> k eliminaci případů opakovaných výzev k doplnění neúplných údajů v dotazníku.</w:t>
      </w:r>
      <w:r w:rsidRPr="00BE7E3B">
        <w:rPr>
          <w:rFonts w:ascii="Arial" w:hAnsi="Arial" w:cs="Arial"/>
          <w:bCs/>
          <w:szCs w:val="24"/>
        </w:rPr>
        <w:t xml:space="preserve"> </w:t>
      </w:r>
    </w:p>
    <w:p w:rsidR="00BE7E3B" w:rsidRPr="00BE7E3B" w:rsidRDefault="00BE7E3B" w:rsidP="00D6284E">
      <w:pPr>
        <w:pStyle w:val="Zkladntextodsazen31"/>
        <w:spacing w:after="120" w:line="276" w:lineRule="auto"/>
        <w:ind w:left="0"/>
        <w:rPr>
          <w:rFonts w:ascii="Arial" w:hAnsi="Arial" w:cs="Arial"/>
          <w:bCs/>
          <w:szCs w:val="24"/>
        </w:rPr>
      </w:pPr>
    </w:p>
    <w:p w:rsidR="00B64A68" w:rsidRPr="00BE7E3B" w:rsidRDefault="00B64A68" w:rsidP="00D6284E">
      <w:pPr>
        <w:pStyle w:val="Zkladntextodsazen31"/>
        <w:spacing w:after="120" w:line="276" w:lineRule="auto"/>
        <w:ind w:left="0"/>
        <w:rPr>
          <w:rFonts w:ascii="Arial" w:hAnsi="Arial" w:cs="Arial"/>
          <w:b/>
          <w:bCs/>
          <w:szCs w:val="24"/>
          <w:u w:val="single"/>
        </w:rPr>
      </w:pPr>
      <w:r w:rsidRPr="00BE7E3B">
        <w:rPr>
          <w:rFonts w:ascii="Arial" w:hAnsi="Arial" w:cs="Arial"/>
          <w:b/>
          <w:bCs/>
          <w:szCs w:val="24"/>
          <w:u w:val="single"/>
        </w:rPr>
        <w:t xml:space="preserve">Předpokládaný hospodářský a finanční </w:t>
      </w:r>
      <w:r w:rsidR="009B5E61" w:rsidRPr="00BE7E3B">
        <w:rPr>
          <w:rFonts w:ascii="Arial" w:hAnsi="Arial" w:cs="Arial"/>
          <w:b/>
          <w:bCs/>
          <w:szCs w:val="24"/>
          <w:u w:val="single"/>
        </w:rPr>
        <w:t>dopad</w:t>
      </w:r>
      <w:r w:rsidRPr="00BE7E3B">
        <w:rPr>
          <w:rFonts w:ascii="Arial" w:hAnsi="Arial" w:cs="Arial"/>
          <w:b/>
          <w:bCs/>
          <w:szCs w:val="24"/>
          <w:u w:val="single"/>
        </w:rPr>
        <w:t xml:space="preserve"> navrhované právní úpravy na státní rozpočet, ostatní veřejné rozpočty, na podnikatelské prostředí České republiky, dále sociální dopady, včetně dopadů </w:t>
      </w:r>
      <w:r w:rsidR="007C7E4B" w:rsidRPr="00BE7E3B">
        <w:rPr>
          <w:rFonts w:ascii="Arial" w:hAnsi="Arial" w:cs="Arial"/>
          <w:b/>
          <w:bCs/>
          <w:szCs w:val="24"/>
          <w:u w:val="single"/>
        </w:rPr>
        <w:t xml:space="preserve">na </w:t>
      </w:r>
      <w:r w:rsidR="009B5E61" w:rsidRPr="00BE7E3B">
        <w:rPr>
          <w:rFonts w:ascii="Arial" w:hAnsi="Arial" w:cs="Arial"/>
          <w:b/>
          <w:bCs/>
          <w:szCs w:val="24"/>
          <w:u w:val="single"/>
        </w:rPr>
        <w:t xml:space="preserve">rodiny a dopadů na </w:t>
      </w:r>
      <w:r w:rsidRPr="00BE7E3B">
        <w:rPr>
          <w:rFonts w:ascii="Arial" w:hAnsi="Arial" w:cs="Arial"/>
          <w:b/>
          <w:bCs/>
          <w:szCs w:val="24"/>
          <w:u w:val="single"/>
        </w:rPr>
        <w:t>specifické skupiny obyvatel, zejména osoby sociálně slabé, osoby se zdravotním postižením a národnostní menšiny, a dopady na životní prostředí</w:t>
      </w:r>
    </w:p>
    <w:p w:rsidR="00B64A68" w:rsidRDefault="00B64A68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ab/>
        <w:t xml:space="preserve">Navrhovaná právní úprava v oblasti ochrany utajovaných informací s ohledem na svůj charakter nemá negativní hospodářský ani finanční dopad na veřejné rozpočty. Návrh vyhlášky nepředpokládá </w:t>
      </w:r>
      <w:r w:rsidR="007C7E4B" w:rsidRPr="00BE7E3B">
        <w:rPr>
          <w:rFonts w:ascii="Arial" w:hAnsi="Arial" w:cs="Arial"/>
          <w:sz w:val="24"/>
          <w:szCs w:val="24"/>
        </w:rPr>
        <w:t xml:space="preserve">sociální dopady ani </w:t>
      </w:r>
      <w:r w:rsidRPr="00BE7E3B">
        <w:rPr>
          <w:rFonts w:ascii="Arial" w:hAnsi="Arial" w:cs="Arial"/>
          <w:sz w:val="24"/>
          <w:szCs w:val="24"/>
        </w:rPr>
        <w:t>dopady na životní prostředí.</w:t>
      </w:r>
    </w:p>
    <w:p w:rsidR="00BE7E3B" w:rsidRPr="00BE7E3B" w:rsidRDefault="00BE7E3B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B64A68" w:rsidRPr="00BE7E3B" w:rsidRDefault="00B64A68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E3B">
        <w:rPr>
          <w:rFonts w:ascii="Arial" w:hAnsi="Arial" w:cs="Arial"/>
          <w:b/>
          <w:sz w:val="24"/>
          <w:szCs w:val="24"/>
          <w:u w:val="single"/>
        </w:rPr>
        <w:t>Zhodnocení současného stavu a dopadů navrhovaného řešení ve vztahu k zákazu diskriminace</w:t>
      </w:r>
      <w:r w:rsidR="007C7E4B" w:rsidRPr="00BE7E3B">
        <w:rPr>
          <w:rFonts w:ascii="Arial" w:hAnsi="Arial" w:cs="Arial"/>
          <w:b/>
          <w:sz w:val="24"/>
          <w:szCs w:val="24"/>
          <w:u w:val="single"/>
        </w:rPr>
        <w:t xml:space="preserve"> a ve vztahu k rovnosti mužů a žen</w:t>
      </w:r>
    </w:p>
    <w:p w:rsidR="00D6284E" w:rsidRDefault="00B64A68" w:rsidP="000362A2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b/>
          <w:sz w:val="24"/>
          <w:szCs w:val="24"/>
        </w:rPr>
        <w:tab/>
      </w:r>
      <w:r w:rsidRPr="00BE7E3B">
        <w:rPr>
          <w:rFonts w:ascii="Arial" w:hAnsi="Arial" w:cs="Arial"/>
          <w:sz w:val="24"/>
          <w:szCs w:val="24"/>
        </w:rPr>
        <w:t>Navrhovaná právní úprava neobsahuje žádná ustanovení, která by měla dopad na problematiku diskriminace</w:t>
      </w:r>
      <w:r w:rsidR="007C7E4B" w:rsidRPr="00BE7E3B">
        <w:rPr>
          <w:rFonts w:ascii="Arial" w:hAnsi="Arial" w:cs="Arial"/>
          <w:sz w:val="24"/>
          <w:szCs w:val="24"/>
        </w:rPr>
        <w:t xml:space="preserve"> a rovněž nepředpokládá žádné dopady na rovné postavení žen a mužů.</w:t>
      </w:r>
    </w:p>
    <w:p w:rsidR="00BE7E3B" w:rsidRDefault="00BE7E3B" w:rsidP="000362A2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BE7E3B" w:rsidRPr="00BE7E3B" w:rsidRDefault="00BE7E3B" w:rsidP="000362A2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B64A68" w:rsidRPr="00BE7E3B" w:rsidRDefault="00B64A68" w:rsidP="00D6284E">
      <w:pPr>
        <w:pStyle w:val="Nadpis2"/>
        <w:keepNext w:val="0"/>
        <w:numPr>
          <w:ilvl w:val="0"/>
          <w:numId w:val="0"/>
        </w:numPr>
        <w:tabs>
          <w:tab w:val="left" w:pos="708"/>
        </w:tabs>
        <w:spacing w:before="0" w:after="120" w:line="276" w:lineRule="auto"/>
        <w:rPr>
          <w:color w:val="auto"/>
          <w:sz w:val="24"/>
          <w:szCs w:val="24"/>
          <w:u w:val="single"/>
        </w:rPr>
      </w:pPr>
      <w:r w:rsidRPr="00BE7E3B">
        <w:rPr>
          <w:color w:val="auto"/>
          <w:sz w:val="24"/>
          <w:szCs w:val="24"/>
          <w:u w:val="single"/>
        </w:rPr>
        <w:lastRenderedPageBreak/>
        <w:t>Zhodnocení dopadů navrhovaného řešení ve vztahu k ochraně soukromí a osobních údajů</w:t>
      </w:r>
    </w:p>
    <w:p w:rsidR="00BE7E3B" w:rsidRDefault="00B64A68" w:rsidP="00262104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ab/>
        <w:t>Návrh vyhlášky nepřináší žádné změny, které by měly dopad ve vztahu k ochraně soukromí nebo k ochraně osobních údajů.</w:t>
      </w:r>
      <w:r w:rsidR="0000656C" w:rsidRPr="00BE7E3B">
        <w:rPr>
          <w:rFonts w:ascii="Arial" w:hAnsi="Arial" w:cs="Arial"/>
          <w:sz w:val="24"/>
          <w:szCs w:val="24"/>
        </w:rPr>
        <w:t xml:space="preserve"> Na zpracování osobních údajů při provádění bezpečnostního řízení a při dalším naplňování zákona se Nařízení Evropského Parlamentu a Rady (EU) 2016/679 ze dne 27. dubna 2016 o ochraně fyzických osob v souvislosti se zpracováním osobních údajů a o volném pohybu těchto údajů a o zrušení směrnice 95/46/ES (obecné nařízení o ochraně osobních údajů) podle svého čl. 2 odst. 2 písm. a) nevztahuje. NBÚ se při zpracování osobních údajů v tomto případě řídí hlavou IV zákona č. 110/2019 Sb., o zpracování osobních údajů.</w:t>
      </w:r>
    </w:p>
    <w:p w:rsidR="00D6284E" w:rsidRPr="00BE7E3B" w:rsidRDefault="0000656C" w:rsidP="00262104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 xml:space="preserve"> </w:t>
      </w:r>
    </w:p>
    <w:p w:rsidR="00B64A68" w:rsidRPr="00BE7E3B" w:rsidRDefault="00B64A68" w:rsidP="00D6284E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E7E3B">
        <w:rPr>
          <w:rFonts w:ascii="Arial" w:hAnsi="Arial" w:cs="Arial"/>
          <w:b/>
          <w:bCs/>
          <w:sz w:val="24"/>
          <w:szCs w:val="24"/>
          <w:u w:val="single"/>
        </w:rPr>
        <w:t>Zhodnocení korupčních rizik</w:t>
      </w:r>
      <w:r w:rsidR="002041CE" w:rsidRPr="00BE7E3B">
        <w:rPr>
          <w:rFonts w:ascii="Arial" w:hAnsi="Arial" w:cs="Arial"/>
          <w:b/>
          <w:bCs/>
          <w:sz w:val="24"/>
          <w:szCs w:val="24"/>
          <w:u w:val="single"/>
        </w:rPr>
        <w:t xml:space="preserve"> navrhovaného řešení (CIA)</w:t>
      </w:r>
    </w:p>
    <w:p w:rsidR="00D6284E" w:rsidRDefault="00B64A68" w:rsidP="00262104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ab/>
        <w:t>Předkládaný návrh vyhlášky nepředpokládá založení korupčních rizik ani jejich nárůst.</w:t>
      </w:r>
    </w:p>
    <w:p w:rsidR="00BE7E3B" w:rsidRPr="00BE7E3B" w:rsidRDefault="00BE7E3B" w:rsidP="00262104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B64A68" w:rsidRPr="00BE7E3B" w:rsidRDefault="00B64A68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E3B">
        <w:rPr>
          <w:rFonts w:ascii="Arial" w:hAnsi="Arial" w:cs="Arial"/>
          <w:b/>
          <w:sz w:val="24"/>
          <w:szCs w:val="24"/>
          <w:u w:val="single"/>
        </w:rPr>
        <w:t>Zhodnocení dopadů na bezpečnost nebo obranu státu</w:t>
      </w:r>
    </w:p>
    <w:p w:rsidR="00C967BB" w:rsidRDefault="00B64A68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ab/>
        <w:t>Předkládaný návrh vyhlášky nepředpokládá založení rizik v oblasti bezpečnosti nebo obrany státu ani jejich nárůst.</w:t>
      </w:r>
      <w:r w:rsidR="00517497" w:rsidRPr="00BE7E3B">
        <w:rPr>
          <w:rFonts w:ascii="Arial" w:hAnsi="Arial" w:cs="Arial"/>
          <w:sz w:val="24"/>
          <w:szCs w:val="24"/>
        </w:rPr>
        <w:t xml:space="preserve"> Naopak předkládaný návrh vyhlášky přispěje ke zvýšení bezpečnosti státu, neboť jeho cílem je zeefktivn</w:t>
      </w:r>
      <w:r w:rsidR="009439FB" w:rsidRPr="00BE7E3B">
        <w:rPr>
          <w:rFonts w:ascii="Arial" w:hAnsi="Arial" w:cs="Arial"/>
          <w:sz w:val="24"/>
          <w:szCs w:val="24"/>
        </w:rPr>
        <w:t xml:space="preserve">it vedení bezpečnostního řízení, jakož </w:t>
      </w:r>
      <w:r w:rsidR="00517497" w:rsidRPr="00BE7E3B">
        <w:rPr>
          <w:rFonts w:ascii="Arial" w:hAnsi="Arial" w:cs="Arial"/>
          <w:sz w:val="24"/>
          <w:szCs w:val="24"/>
        </w:rPr>
        <w:t>i prověřování, zda držitelé osvědčení fyzické osoby a držitelé dokladu splňují všechny podmínky pro jejich vydání stanovené zákonem</w:t>
      </w:r>
      <w:r w:rsidR="00467E87" w:rsidRPr="00BE7E3B">
        <w:rPr>
          <w:rFonts w:ascii="Arial" w:hAnsi="Arial" w:cs="Arial"/>
          <w:sz w:val="24"/>
          <w:szCs w:val="24"/>
        </w:rPr>
        <w:t xml:space="preserve"> po celou dobu platnosti těchto veřejných listin</w:t>
      </w:r>
      <w:r w:rsidR="00517497" w:rsidRPr="00BE7E3B">
        <w:rPr>
          <w:rFonts w:ascii="Arial" w:hAnsi="Arial" w:cs="Arial"/>
          <w:sz w:val="24"/>
          <w:szCs w:val="24"/>
        </w:rPr>
        <w:t>.</w:t>
      </w:r>
    </w:p>
    <w:p w:rsidR="00BE7E3B" w:rsidRPr="00BE7E3B" w:rsidRDefault="00BE7E3B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B2E62" w:rsidRPr="00BE7E3B" w:rsidRDefault="00FB2E62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E3B">
        <w:rPr>
          <w:rFonts w:ascii="Arial" w:hAnsi="Arial" w:cs="Arial"/>
          <w:b/>
          <w:sz w:val="24"/>
          <w:szCs w:val="24"/>
          <w:u w:val="single"/>
        </w:rPr>
        <w:t>Vyjádření k RIA</w:t>
      </w:r>
    </w:p>
    <w:p w:rsidR="00FB2E62" w:rsidRPr="00BE7E3B" w:rsidRDefault="00942927" w:rsidP="00D6284E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tab/>
      </w:r>
      <w:r w:rsidR="00FB2E62" w:rsidRPr="00BE7E3B">
        <w:rPr>
          <w:rFonts w:ascii="Arial" w:hAnsi="Arial" w:cs="Arial"/>
          <w:sz w:val="24"/>
          <w:szCs w:val="24"/>
        </w:rPr>
        <w:t>Návrh vyhlášky se předkládá v souladu s Plánem vyhlášek ústředních orgánů státní správy na rok 2021 bez nutnosti zpracování RIA, neboť se jedná o úpravu, s níž nejsou předpokládány žádné nové a rozsáhlé dopady.</w:t>
      </w:r>
    </w:p>
    <w:p w:rsidR="00C967BB" w:rsidRPr="00BE7E3B" w:rsidRDefault="00C967B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BE7E3B">
        <w:rPr>
          <w:rFonts w:ascii="Arial" w:hAnsi="Arial" w:cs="Arial"/>
          <w:sz w:val="24"/>
          <w:szCs w:val="24"/>
        </w:rPr>
        <w:br w:type="page"/>
      </w:r>
    </w:p>
    <w:p w:rsidR="00B64A68" w:rsidRPr="00BE7E3B" w:rsidRDefault="00B64A68" w:rsidP="00560F12">
      <w:pPr>
        <w:pStyle w:val="Nadpis2"/>
        <w:keepNext w:val="0"/>
        <w:numPr>
          <w:ilvl w:val="0"/>
          <w:numId w:val="0"/>
        </w:numPr>
        <w:tabs>
          <w:tab w:val="left" w:pos="708"/>
        </w:tabs>
        <w:spacing w:before="0" w:after="120" w:line="276" w:lineRule="auto"/>
        <w:jc w:val="center"/>
        <w:rPr>
          <w:color w:val="auto"/>
          <w:sz w:val="24"/>
          <w:szCs w:val="24"/>
        </w:rPr>
      </w:pPr>
      <w:r w:rsidRPr="00BE7E3B">
        <w:rPr>
          <w:color w:val="auto"/>
          <w:sz w:val="24"/>
          <w:szCs w:val="24"/>
        </w:rPr>
        <w:lastRenderedPageBreak/>
        <w:t>Z</w:t>
      </w:r>
      <w:r w:rsidR="00560F12" w:rsidRPr="00BE7E3B">
        <w:rPr>
          <w:color w:val="auto"/>
          <w:sz w:val="24"/>
          <w:szCs w:val="24"/>
        </w:rPr>
        <w:t>vláštní část</w:t>
      </w:r>
    </w:p>
    <w:p w:rsidR="00324471" w:rsidRPr="00BE7E3B" w:rsidRDefault="0032447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 </w:t>
      </w:r>
      <w:r w:rsidR="00C77740" w:rsidRPr="00BE7E3B">
        <w:rPr>
          <w:rFonts w:ascii="Arial" w:hAnsi="Arial" w:cs="Arial"/>
          <w:b/>
          <w:sz w:val="24"/>
          <w:szCs w:val="24"/>
          <w:lang w:eastAsia="zh-CN"/>
        </w:rPr>
        <w:t>Č</w:t>
      </w:r>
      <w:r w:rsidRPr="00BE7E3B">
        <w:rPr>
          <w:rFonts w:ascii="Arial" w:hAnsi="Arial" w:cs="Arial"/>
          <w:b/>
          <w:sz w:val="24"/>
          <w:szCs w:val="24"/>
          <w:lang w:eastAsia="zh-CN"/>
        </w:rPr>
        <w:t>l. I</w:t>
      </w:r>
    </w:p>
    <w:p w:rsidR="00324471" w:rsidRPr="00BE7E3B" w:rsidRDefault="00324471" w:rsidP="003600D1">
      <w:pPr>
        <w:rPr>
          <w:rFonts w:ascii="Arial" w:hAnsi="Arial" w:cs="Arial"/>
          <w:b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 bodu 1 (§ 10 nadpis)</w:t>
      </w:r>
    </w:p>
    <w:p w:rsidR="003600D1" w:rsidRPr="00BE7E3B" w:rsidRDefault="00467E87" w:rsidP="003C01CA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S ohledem na navrhovanou změnu spočívající v p</w:t>
      </w:r>
      <w:r w:rsidR="003600D1" w:rsidRPr="00BE7E3B">
        <w:rPr>
          <w:rFonts w:ascii="Arial" w:hAnsi="Arial" w:cs="Arial"/>
          <w:sz w:val="24"/>
          <w:szCs w:val="24"/>
          <w:lang w:eastAsia="zh-CN"/>
        </w:rPr>
        <w:t>ovinnost</w:t>
      </w:r>
      <w:r w:rsidRPr="00BE7E3B">
        <w:rPr>
          <w:rFonts w:ascii="Arial" w:hAnsi="Arial" w:cs="Arial"/>
          <w:sz w:val="24"/>
          <w:szCs w:val="24"/>
          <w:lang w:eastAsia="zh-CN"/>
        </w:rPr>
        <w:t>i</w:t>
      </w:r>
      <w:r w:rsidR="003600D1" w:rsidRPr="00BE7E3B">
        <w:rPr>
          <w:rFonts w:ascii="Arial" w:hAnsi="Arial" w:cs="Arial"/>
          <w:sz w:val="24"/>
          <w:szCs w:val="24"/>
          <w:lang w:eastAsia="zh-CN"/>
        </w:rPr>
        <w:t xml:space="preserve"> oznamovat změny v prohlášení k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3600D1" w:rsidRPr="00BE7E3B">
        <w:rPr>
          <w:rFonts w:ascii="Arial" w:hAnsi="Arial" w:cs="Arial"/>
          <w:sz w:val="24"/>
          <w:szCs w:val="24"/>
          <w:lang w:eastAsia="zh-CN"/>
        </w:rPr>
        <w:t xml:space="preserve">osobnostní způsobilosti </w:t>
      </w:r>
      <w:r w:rsidR="003C01CA" w:rsidRPr="00BE7E3B">
        <w:rPr>
          <w:rFonts w:ascii="Arial" w:hAnsi="Arial" w:cs="Arial"/>
          <w:sz w:val="24"/>
          <w:szCs w:val="24"/>
          <w:lang w:val="en-US" w:eastAsia="zh-CN"/>
        </w:rPr>
        <w:t>[</w:t>
      </w:r>
      <w:r w:rsidR="003600D1" w:rsidRPr="00BE7E3B">
        <w:rPr>
          <w:rFonts w:ascii="Arial" w:hAnsi="Arial" w:cs="Arial"/>
          <w:sz w:val="24"/>
          <w:szCs w:val="24"/>
          <w:lang w:eastAsia="zh-CN"/>
        </w:rPr>
        <w:t>viz navrhovaný § 10 odst. 1 písm. h)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]</w:t>
      </w:r>
      <w:r w:rsidR="003600D1" w:rsidRPr="00BE7E3B">
        <w:rPr>
          <w:rFonts w:ascii="Arial" w:hAnsi="Arial" w:cs="Arial"/>
          <w:sz w:val="24"/>
          <w:szCs w:val="24"/>
          <w:lang w:eastAsia="zh-CN"/>
        </w:rPr>
        <w:t xml:space="preserve"> je nutné nadpis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 xml:space="preserve">§ 10 </w:t>
      </w:r>
      <w:r w:rsidR="003600D1" w:rsidRPr="00BE7E3B">
        <w:rPr>
          <w:rFonts w:ascii="Arial" w:hAnsi="Arial" w:cs="Arial"/>
          <w:sz w:val="24"/>
          <w:szCs w:val="24"/>
          <w:lang w:eastAsia="zh-CN"/>
        </w:rPr>
        <w:t>zobecnit. Zákon toto připouští, neboť vyhlášku zmocňuje ke stanovení podrobností k oznamování změn uvedených v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3600D1" w:rsidRPr="00BE7E3B">
        <w:rPr>
          <w:rFonts w:ascii="Arial" w:hAnsi="Arial" w:cs="Arial"/>
          <w:sz w:val="24"/>
          <w:szCs w:val="24"/>
          <w:lang w:eastAsia="zh-CN"/>
        </w:rPr>
        <w:t xml:space="preserve">žádosti, přičemž prohlášení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="003600D1" w:rsidRPr="00BE7E3B">
        <w:rPr>
          <w:rFonts w:ascii="Arial" w:hAnsi="Arial" w:cs="Arial"/>
          <w:sz w:val="24"/>
          <w:szCs w:val="24"/>
          <w:lang w:eastAsia="zh-CN"/>
        </w:rPr>
        <w:t>k osobnostní způsobilosti je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 xml:space="preserve"> po</w:t>
      </w:r>
      <w:r w:rsidR="003600D1" w:rsidRPr="00BE7E3B">
        <w:rPr>
          <w:rFonts w:ascii="Arial" w:hAnsi="Arial" w:cs="Arial"/>
          <w:sz w:val="24"/>
          <w:szCs w:val="24"/>
          <w:lang w:eastAsia="zh-CN"/>
        </w:rPr>
        <w:t xml:space="preserve">dle § 94 odst. 2 písm. c) a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 xml:space="preserve">§ </w:t>
      </w:r>
      <w:r w:rsidR="003600D1" w:rsidRPr="00BE7E3B">
        <w:rPr>
          <w:rFonts w:ascii="Arial" w:hAnsi="Arial" w:cs="Arial"/>
          <w:sz w:val="24"/>
          <w:szCs w:val="24"/>
          <w:lang w:eastAsia="zh-CN"/>
        </w:rPr>
        <w:t>94 odst. 3 zákona součástí žádosti.</w:t>
      </w:r>
    </w:p>
    <w:p w:rsidR="003600D1" w:rsidRPr="00BE7E3B" w:rsidRDefault="003600D1" w:rsidP="003600D1">
      <w:pPr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 xml:space="preserve">K bodu 2 </w:t>
      </w:r>
      <w:r w:rsidR="003C01CA" w:rsidRPr="00BE7E3B">
        <w:rPr>
          <w:rFonts w:ascii="Arial" w:hAnsi="Arial" w:cs="Arial"/>
          <w:b/>
          <w:sz w:val="24"/>
          <w:szCs w:val="24"/>
          <w:lang w:val="en-US" w:eastAsia="zh-CN"/>
        </w:rPr>
        <w:t>[</w:t>
      </w:r>
      <w:r w:rsidRPr="00BE7E3B">
        <w:rPr>
          <w:rFonts w:ascii="Arial" w:hAnsi="Arial" w:cs="Arial"/>
          <w:b/>
          <w:sz w:val="24"/>
          <w:szCs w:val="24"/>
          <w:lang w:eastAsia="zh-CN"/>
        </w:rPr>
        <w:t>§ 10 odst. 1 písm. g) a h)</w:t>
      </w:r>
      <w:r w:rsidR="003C01CA" w:rsidRPr="00BE7E3B">
        <w:rPr>
          <w:rFonts w:ascii="Arial" w:hAnsi="Arial" w:cs="Arial"/>
          <w:b/>
          <w:sz w:val="24"/>
          <w:szCs w:val="24"/>
          <w:lang w:eastAsia="zh-CN"/>
        </w:rPr>
        <w:t>]</w:t>
      </w:r>
    </w:p>
    <w:p w:rsidR="003C01CA" w:rsidRPr="00BE7E3B" w:rsidRDefault="003C01CA" w:rsidP="003C01CA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Nově se navrhuje povinnost oznamovat změny v prohlášení k osobnostní způsobilosti a léčbu v souvislosti s požíváním alkoholu, užíváním omamných nebo psychotropních látek nebo s účastí na hazardních hrách.</w:t>
      </w:r>
    </w:p>
    <w:p w:rsidR="003600D1" w:rsidRPr="00BE7E3B" w:rsidRDefault="003600D1" w:rsidP="003C01CA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 xml:space="preserve">Tyto navrhované změny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by měly přispět k výraznému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zjednoduš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en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í plnění povinnosti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NBÚ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podle § 110 zákona, tedy povinnosti prověřovat u držitelů veřejných listin, zda v průběhu platnosti těchto veřejných listin i nadále splňují veškeré podmínky pro jejich vydání podle § 12 odst. 1 a § 81 odst. 1 zákona. V souvislosti s podmínkou osobnostní způsobilosti podle § 12 odst. 1 písm. c) a § 81 odst. 1 písm. d) zákona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NBÚ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doposud nedisponoval relevantním nástrojem, za 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 xml:space="preserve">jehož </w:t>
      </w:r>
      <w:r w:rsidR="00CE638A" w:rsidRPr="00BE7E3B">
        <w:rPr>
          <w:rFonts w:ascii="Arial" w:hAnsi="Arial" w:cs="Arial"/>
          <w:sz w:val="24"/>
          <w:szCs w:val="24"/>
          <w:lang w:eastAsia="zh-CN"/>
        </w:rPr>
        <w:t>pomoci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by zjišťoval aktuální informace. Jedná se totiž o skutečnosti, které jsou úkony řízení podle § 107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,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resp. §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 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109 zákona v podstatě nezjistitelné. Stěžejním zdrojem takových informací může být právě jen vyjádření </w:t>
      </w:r>
      <w:r w:rsidR="00CE638A" w:rsidRPr="00BE7E3B">
        <w:rPr>
          <w:rFonts w:ascii="Arial" w:hAnsi="Arial" w:cs="Arial"/>
          <w:sz w:val="24"/>
          <w:szCs w:val="24"/>
          <w:lang w:eastAsia="zh-CN"/>
        </w:rPr>
        <w:t xml:space="preserve">samotného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držitele veřejné listiny. Za současného stavu měl však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NBÚ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takové vyjádření k dispozici pouze z doby vedení bezpečnostního řízení o vydání veřejné listiny. Současně pokud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NBÚ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nezískal nějaké indicie o vývoji psychického stavu držitele např. z trestního nebo přestupkového řízení, neměl důvod vyzývat držitele veřejné listiny, aby tyto údaje aktualizoval. Oproti ostatním podmínkám byl tak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NBÚ</w:t>
      </w:r>
      <w:r w:rsidR="00676C58" w:rsidRPr="00BE7E3B">
        <w:rPr>
          <w:rFonts w:ascii="Arial" w:hAnsi="Arial" w:cs="Arial"/>
          <w:sz w:val="24"/>
          <w:szCs w:val="24"/>
          <w:lang w:eastAsia="zh-CN"/>
        </w:rPr>
        <w:t>,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676C58" w:rsidRPr="00BE7E3B">
        <w:rPr>
          <w:rFonts w:ascii="Arial" w:hAnsi="Arial" w:cs="Arial"/>
          <w:sz w:val="24"/>
          <w:szCs w:val="24"/>
          <w:lang w:eastAsia="zh-CN"/>
        </w:rPr>
        <w:t xml:space="preserve">podle dosavadní právní úpravy, </w:t>
      </w:r>
      <w:r w:rsidRPr="00BE7E3B">
        <w:rPr>
          <w:rFonts w:ascii="Arial" w:hAnsi="Arial" w:cs="Arial"/>
          <w:sz w:val="24"/>
          <w:szCs w:val="24"/>
          <w:lang w:eastAsia="zh-CN"/>
        </w:rPr>
        <w:t>při prověřování, zda držitel veřejné listiny podmínku osobnostní způsobilosti i nadále splňuje, často odkázán na náhodu, zda se nějaké informace dozví od třetí strany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, přičemž v praxi docházelo k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případ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ům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, kdy držitel veřejné listiny aktuální údaje ke svému psychickému stavu uvedl až do nové žádosti o vydání veřejné listiny, ačkoliv k těmto změnám došlo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 xml:space="preserve">již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v průběhu platnosti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osvědčení fyzické osoby nebo dokladu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. Jedná se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 xml:space="preserve">přitom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o údaje, které není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NBÚ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schopen sám získat v rámci běžného výkonu státní správy ani z dostupných registrů.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V tomto případě ani n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elze spoléhat na plnění informační povinnosti ve smyslu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§ 69 odst. 1 písm. c) zákona a § 86 písm. d) zákona, neboť subjekty tam uvedené nemají faktickou možnost, jak tyto informace spolehlivě získat </w:t>
      </w:r>
      <w:r w:rsidR="00CE638A" w:rsidRPr="00BE7E3B">
        <w:rPr>
          <w:rFonts w:ascii="Arial" w:hAnsi="Arial" w:cs="Arial"/>
          <w:sz w:val="24"/>
          <w:szCs w:val="24"/>
          <w:lang w:eastAsia="zh-CN"/>
        </w:rPr>
        <w:t>nebo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ověřit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. Z tohoto důvodu tak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nezbývá než uložit tuto povinnost samotným fyzickým osobám.</w:t>
      </w:r>
    </w:p>
    <w:p w:rsidR="003600D1" w:rsidRPr="00BE7E3B" w:rsidRDefault="003600D1" w:rsidP="00CE638A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 xml:space="preserve">Přijetí povinnosti oznamovat změny podle nových ustanovení písmena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g) a h) by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NBÚ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mělo zaručit, že při posuzování, zda držitel veřejné listiny splňuje podmínku osobnostní způsobilosti, vždy vyhodnocuje aktuální informace, stejně jako je tomu u bezúhonnosti, kde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NBÚ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pracuje zejména s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 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informacemi od třetích subjektů. Navrhovaná změna rovněž přinese značné urychlení procesu prověřování, zda držitel veřejné listiny splňuje podmínku osobnostní způsobilosti, neboť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NBÚ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z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 </w:t>
      </w:r>
      <w:r w:rsidRPr="00BE7E3B">
        <w:rPr>
          <w:rFonts w:ascii="Arial" w:hAnsi="Arial" w:cs="Arial"/>
          <w:sz w:val="24"/>
          <w:szCs w:val="24"/>
          <w:lang w:eastAsia="zh-CN"/>
        </w:rPr>
        <w:t>oznámených změn již bude znát základní údaje, podle kterých může zvolit vhodný další postup.</w:t>
      </w:r>
    </w:p>
    <w:p w:rsidR="003600D1" w:rsidRPr="00BE7E3B" w:rsidRDefault="003600D1" w:rsidP="003C01CA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Praxe ukazuje</w:t>
      </w:r>
      <w:r w:rsidR="00676C58" w:rsidRPr="00BE7E3B">
        <w:rPr>
          <w:rFonts w:ascii="Arial" w:hAnsi="Arial" w:cs="Arial"/>
          <w:sz w:val="24"/>
          <w:szCs w:val="24"/>
          <w:lang w:eastAsia="zh-CN"/>
        </w:rPr>
        <w:t>, že je třeba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na změny v oblasti</w:t>
      </w:r>
      <w:r w:rsidR="00676C58" w:rsidRPr="00BE7E3B">
        <w:rPr>
          <w:rFonts w:ascii="Arial" w:hAnsi="Arial" w:cs="Arial"/>
          <w:sz w:val="24"/>
          <w:szCs w:val="24"/>
          <w:lang w:eastAsia="zh-CN"/>
        </w:rPr>
        <w:t xml:space="preserve"> osobnostní způsobilosti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reagovat v reálném čase a nikoli až s odstupem několik let v souvislosti s podáním další žádosti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 xml:space="preserve">,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což může být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 xml:space="preserve">například </w:t>
      </w:r>
      <w:r w:rsidRPr="00BE7E3B">
        <w:rPr>
          <w:rFonts w:ascii="Arial" w:hAnsi="Arial" w:cs="Arial"/>
          <w:sz w:val="24"/>
          <w:szCs w:val="24"/>
          <w:lang w:eastAsia="zh-CN"/>
        </w:rPr>
        <w:t>v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 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případě žádosti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>o vydání osvědčení fyzické osoby opravňující k přístupu k utajované informaci stupně utajení Důvěrné víc</w:t>
      </w:r>
      <w:r w:rsidRPr="00BE7E3B">
        <w:rPr>
          <w:rFonts w:ascii="Arial" w:hAnsi="Arial" w:cs="Arial"/>
          <w:sz w:val="24"/>
          <w:szCs w:val="24"/>
          <w:lang w:eastAsia="zh-CN"/>
        </w:rPr>
        <w:t>e než 8 let.</w:t>
      </w:r>
    </w:p>
    <w:p w:rsidR="00017611" w:rsidRPr="00BE7E3B" w:rsidRDefault="00017611" w:rsidP="003600D1">
      <w:pPr>
        <w:rPr>
          <w:rFonts w:ascii="Arial" w:hAnsi="Arial" w:cs="Arial"/>
          <w:b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 3 (§ 10 odst. 2)</w:t>
      </w:r>
    </w:p>
    <w:p w:rsidR="003600D1" w:rsidRPr="00BE7E3B" w:rsidRDefault="00CF1D0B" w:rsidP="001C7952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 xml:space="preserve">Oznamování změn v oblasti nabytí nemovitého majetku v zahraničí a finanční závazky mezi fyzickými osobami volnou formou se </w:t>
      </w:r>
      <w:r w:rsidR="003C01CA" w:rsidRPr="00BE7E3B">
        <w:rPr>
          <w:rFonts w:ascii="Arial" w:hAnsi="Arial" w:cs="Arial"/>
          <w:sz w:val="24"/>
          <w:szCs w:val="24"/>
          <w:lang w:eastAsia="zh-CN"/>
        </w:rPr>
        <w:t xml:space="preserve">v aplikační praxi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ukázalo jako nevyhovující. Navrhovaná změna zavádí povinnost </w:t>
      </w:r>
      <w:r w:rsidR="00BE68A0" w:rsidRPr="00BE7E3B">
        <w:rPr>
          <w:rFonts w:ascii="Arial" w:hAnsi="Arial" w:cs="Arial"/>
          <w:sz w:val="24"/>
          <w:szCs w:val="24"/>
          <w:lang w:eastAsia="zh-CN"/>
        </w:rPr>
        <w:t xml:space="preserve">fyzické osoby, která podala žádost o vydání osvědčení fyzické osoby,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hlásit tyto skutečnosti ve struktuře položek dotazníku, což ulehčí zjištění skutečného stavu věci a eliminuje </w:t>
      </w:r>
      <w:r w:rsidR="00BE68A0" w:rsidRPr="00BE7E3B">
        <w:rPr>
          <w:rFonts w:ascii="Arial" w:hAnsi="Arial" w:cs="Arial"/>
          <w:sz w:val="24"/>
          <w:szCs w:val="24"/>
          <w:lang w:eastAsia="zh-CN"/>
        </w:rPr>
        <w:t>případy dodatečných výzev adresovaných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držitel</w:t>
      </w:r>
      <w:r w:rsidR="00BE68A0" w:rsidRPr="00BE7E3B">
        <w:rPr>
          <w:rFonts w:ascii="Arial" w:hAnsi="Arial" w:cs="Arial"/>
          <w:sz w:val="24"/>
          <w:szCs w:val="24"/>
          <w:lang w:eastAsia="zh-CN"/>
        </w:rPr>
        <w:t>ům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E68A0" w:rsidRPr="00BE7E3B">
        <w:rPr>
          <w:rFonts w:ascii="Arial" w:hAnsi="Arial" w:cs="Arial"/>
          <w:sz w:val="24"/>
          <w:szCs w:val="24"/>
          <w:lang w:eastAsia="zh-CN"/>
        </w:rPr>
        <w:t xml:space="preserve">této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veřejné listiny </w:t>
      </w:r>
      <w:r w:rsidR="00BE68A0" w:rsidRPr="00BE7E3B">
        <w:rPr>
          <w:rFonts w:ascii="Arial" w:hAnsi="Arial" w:cs="Arial"/>
          <w:sz w:val="24"/>
          <w:szCs w:val="24"/>
          <w:lang w:eastAsia="zh-CN"/>
        </w:rPr>
        <w:t>s žádostí o upřesnění oznámení změny. V praxi tak dojde ke snížení administrativní i ekonomické zátěže jak na straně oznamovatele, tak i na straně NBÚ.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E68A0" w:rsidRPr="00BE7E3B">
        <w:rPr>
          <w:rFonts w:ascii="Arial" w:hAnsi="Arial" w:cs="Arial"/>
          <w:sz w:val="24"/>
          <w:szCs w:val="24"/>
          <w:lang w:eastAsia="zh-CN"/>
        </w:rPr>
        <w:t xml:space="preserve">V souvislosti s nově doplněným písm.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="00BE68A0" w:rsidRPr="00BE7E3B">
        <w:rPr>
          <w:rFonts w:ascii="Arial" w:hAnsi="Arial" w:cs="Arial"/>
          <w:sz w:val="24"/>
          <w:szCs w:val="24"/>
          <w:lang w:eastAsia="zh-CN"/>
        </w:rPr>
        <w:t xml:space="preserve">g) v § 10 odst. 1 návrhu vyhlášky bude vhodné s ohledem na výše uvedené oznamování této změny provádět rovněž ve struktuře položky dotazníku. </w:t>
      </w:r>
    </w:p>
    <w:p w:rsidR="00BE68A0" w:rsidRPr="00BE7E3B" w:rsidRDefault="00BE68A0" w:rsidP="00BE68A0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CF1D0B" w:rsidRPr="00BE7E3B">
        <w:rPr>
          <w:rFonts w:ascii="Arial" w:hAnsi="Arial" w:cs="Arial"/>
          <w:b/>
          <w:sz w:val="24"/>
          <w:szCs w:val="24"/>
          <w:lang w:eastAsia="zh-CN"/>
        </w:rPr>
        <w:t xml:space="preserve"> 4 (§ 10 odst. 3)</w:t>
      </w:r>
    </w:p>
    <w:p w:rsidR="00CF1D0B" w:rsidRPr="00BE7E3B" w:rsidRDefault="00BE68A0" w:rsidP="00443084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Oznamování změn v oblasti nabytí nemovitého majetku v zahraničí a finanční závazky mezi fyzickými osobami volnou formou se v aplikační praxi ukázalo jako nevyhovující. Navrhovaná změna zavádí</w:t>
      </w:r>
      <w:r w:rsidR="001C7952" w:rsidRPr="00BE7E3B">
        <w:rPr>
          <w:rFonts w:ascii="Arial" w:hAnsi="Arial" w:cs="Arial"/>
          <w:sz w:val="24"/>
          <w:szCs w:val="24"/>
          <w:lang w:eastAsia="zh-CN"/>
        </w:rPr>
        <w:t xml:space="preserve">, obdobně jako v § 10 odst. 2vyhlášky </w:t>
      </w:r>
      <w:r w:rsidRPr="00BE7E3B">
        <w:rPr>
          <w:rFonts w:ascii="Arial" w:hAnsi="Arial" w:cs="Arial"/>
          <w:sz w:val="24"/>
          <w:szCs w:val="24"/>
          <w:lang w:eastAsia="zh-CN"/>
        </w:rPr>
        <w:t>povinnost fyzické osoby, která podala žádost o doklad, hlásit tyto skutečnosti ve struktuře položek dotazníku, což ulehčí zjištění skutečného stavu věci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E7E3B">
        <w:rPr>
          <w:rFonts w:ascii="Arial" w:hAnsi="Arial" w:cs="Arial"/>
          <w:sz w:val="24"/>
          <w:szCs w:val="24"/>
          <w:lang w:eastAsia="zh-CN"/>
        </w:rPr>
        <w:t>a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 </w:t>
      </w:r>
      <w:r w:rsidRPr="00BE7E3B">
        <w:rPr>
          <w:rFonts w:ascii="Arial" w:hAnsi="Arial" w:cs="Arial"/>
          <w:sz w:val="24"/>
          <w:szCs w:val="24"/>
          <w:lang w:eastAsia="zh-CN"/>
        </w:rPr>
        <w:t>eliminuje případy dodatečných výzev adresovaných držitelům této veřejné listiny s žádostí o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 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upřesnění oznámení změny. V praxi tak dojde ke snížení administrativní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i ekonomické zátěže jak na straně oznamovatele, tak i na straně NBÚ. V souvislosti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Pr="00BE7E3B">
        <w:rPr>
          <w:rFonts w:ascii="Arial" w:hAnsi="Arial" w:cs="Arial"/>
          <w:sz w:val="24"/>
          <w:szCs w:val="24"/>
          <w:lang w:eastAsia="zh-CN"/>
        </w:rPr>
        <w:t>s nově doplněným písm. g) v § 10 odst. 1 návrhu vyhlášky bude vhodné s ohledem na výše uvedené oznamování této změny provádět rovněž ve struktuře položky dotazníku.</w:t>
      </w:r>
    </w:p>
    <w:p w:rsidR="00BE68A0" w:rsidRPr="00BE7E3B" w:rsidRDefault="00BE68A0" w:rsidP="003600D1">
      <w:pPr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CF1D0B" w:rsidRPr="00BE7E3B">
        <w:rPr>
          <w:rFonts w:ascii="Arial" w:hAnsi="Arial" w:cs="Arial"/>
          <w:b/>
          <w:sz w:val="24"/>
          <w:szCs w:val="24"/>
          <w:lang w:eastAsia="zh-CN"/>
        </w:rPr>
        <w:t xml:space="preserve"> 5 (příloha č. 6, bod 2.7)</w:t>
      </w:r>
    </w:p>
    <w:p w:rsidR="00CF1D0B" w:rsidRPr="00BE7E3B" w:rsidRDefault="00BE68A0" w:rsidP="00443084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Navrhuje se d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oplnění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položky</w:t>
      </w:r>
      <w:r w:rsidR="00443084" w:rsidRPr="00BE7E3B">
        <w:rPr>
          <w:rFonts w:ascii="Arial" w:hAnsi="Arial" w:cs="Arial"/>
          <w:sz w:val="24"/>
          <w:szCs w:val="24"/>
          <w:lang w:eastAsia="zh-CN"/>
        </w:rPr>
        <w:t xml:space="preserve"> č. 2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dotazníku </w:t>
      </w:r>
      <w:r w:rsidR="00443084" w:rsidRPr="00BE7E3B">
        <w:rPr>
          <w:rFonts w:ascii="Arial" w:hAnsi="Arial" w:cs="Arial"/>
          <w:sz w:val="24"/>
          <w:szCs w:val="24"/>
          <w:lang w:eastAsia="zh-CN"/>
        </w:rPr>
        <w:t>s cílem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předej</w:t>
      </w:r>
      <w:r w:rsidR="00443084" w:rsidRPr="00BE7E3B">
        <w:rPr>
          <w:rFonts w:ascii="Arial" w:hAnsi="Arial" w:cs="Arial"/>
          <w:sz w:val="24"/>
          <w:szCs w:val="24"/>
          <w:lang w:eastAsia="zh-CN"/>
        </w:rPr>
        <w:t>ít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následným výzvám k upřesnění údajů podle § 103 zákona v případech, kdy žadatel o vydání veřejné listiny má trvalý pobyt na adrese, 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k níž nemá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zjevnou vazbu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(analogie k bodu 9.10 dotazníku). </w:t>
      </w:r>
      <w:r w:rsidR="006A5073">
        <w:rPr>
          <w:rFonts w:ascii="Arial" w:hAnsi="Arial" w:cs="Arial"/>
          <w:sz w:val="24"/>
          <w:szCs w:val="24"/>
          <w:lang w:eastAsia="zh-CN"/>
        </w:rPr>
        <w:t xml:space="preserve">Může se přitom jednat relativně běžnou situaci, kdy má žadatel hlášen trvalý pobyt na adrese svých příbuzných, např. rodičů nebo prarodičů, ačkoliv fakticky bydlí na adrese jiné. 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Vztah k adrese trvalého pobytu může indikovat skutečnost relevantní z hlediska ověřování podmínek pro vydání osvědčení (podezřelé skutečnosti, jako trvalý pobyt na tzv. luxusní adrese nebo naopak v sídle ohlašovny apod.)</w:t>
      </w:r>
      <w:r w:rsidR="00443084" w:rsidRPr="00BE7E3B">
        <w:rPr>
          <w:rFonts w:ascii="Arial" w:hAnsi="Arial" w:cs="Arial"/>
          <w:sz w:val="24"/>
          <w:szCs w:val="24"/>
          <w:lang w:eastAsia="zh-CN"/>
        </w:rPr>
        <w:t>.</w:t>
      </w:r>
    </w:p>
    <w:p w:rsidR="00CF1D0B" w:rsidRPr="00BE7E3B" w:rsidRDefault="00CF1D0B" w:rsidP="00CF1D0B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CF1D0B" w:rsidRPr="00BE7E3B">
        <w:rPr>
          <w:rFonts w:ascii="Arial" w:hAnsi="Arial" w:cs="Arial"/>
          <w:b/>
          <w:sz w:val="24"/>
          <w:szCs w:val="24"/>
          <w:lang w:eastAsia="zh-CN"/>
        </w:rPr>
        <w:t xml:space="preserve"> 6 (příloha č. 6, bod 3.8)</w:t>
      </w:r>
    </w:p>
    <w:p w:rsidR="00CF1D0B" w:rsidRPr="00BE7E3B" w:rsidRDefault="00443084" w:rsidP="00443084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Navrhuje se d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oplnění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položky č. 3 dotazníku za účelem předcházení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následným výzvám k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u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přesnění údajů podle § 103 zákona v případech, kdy žadatel o vydání veřejné listiny má nebo měl faktický pobyt na adrese, 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k níž nemá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zjevnou vazbu. Tato skutečnost má často jednoduché vysvětlení např. vlastnění nemovitosti </w:t>
      </w:r>
      <w:r w:rsidRPr="00BE7E3B">
        <w:rPr>
          <w:rFonts w:ascii="Arial" w:hAnsi="Arial" w:cs="Arial"/>
          <w:sz w:val="24"/>
          <w:szCs w:val="24"/>
          <w:lang w:eastAsia="zh-CN"/>
        </w:rPr>
        <w:t>nebo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družstevního podílu před více než 5 lety (prodej se neprojeví 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 xml:space="preserve">v 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bodě 9.7), které však </w:t>
      </w:r>
      <w:r w:rsidRPr="00BE7E3B">
        <w:rPr>
          <w:rFonts w:ascii="Arial" w:hAnsi="Arial" w:cs="Arial"/>
          <w:sz w:val="24"/>
          <w:szCs w:val="24"/>
          <w:lang w:eastAsia="zh-CN"/>
        </w:rPr>
        <w:t>NBÚ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není schopen s ohledem na plynutí času za pomoci úkonů řízení zjistit, nebo jen se značnými obtížemi. Z hlediska komplexních činností při ověřování podmínek pro vydání osvědčení může mít reálný přesah i do posuzování přiměřenosti majetkových poměrů. Heslovité doplnění těchto údajů v dotazníku představuje menší administrativní, časovou i</w:t>
      </w:r>
      <w:r w:rsidR="00C967BB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ekonomickou zátěž účastníků řízení oproti případnému zdlouhavému a formalizovanému procesu upřesňování nebo sdělování doplňujících informací (analogie k bodu 9.10 dotazníku).</w:t>
      </w:r>
    </w:p>
    <w:p w:rsidR="00CF1D0B" w:rsidRPr="00BE7E3B" w:rsidRDefault="00CF1D0B" w:rsidP="003600D1">
      <w:pPr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CF1D0B" w:rsidRPr="00BE7E3B">
        <w:rPr>
          <w:rFonts w:ascii="Arial" w:hAnsi="Arial" w:cs="Arial"/>
          <w:b/>
          <w:sz w:val="24"/>
          <w:szCs w:val="24"/>
          <w:lang w:eastAsia="zh-CN"/>
        </w:rPr>
        <w:t xml:space="preserve"> 7 (příloha č. 6, bod 4.7)</w:t>
      </w:r>
    </w:p>
    <w:p w:rsidR="00CF1D0B" w:rsidRPr="00BE7E3B" w:rsidRDefault="00443084" w:rsidP="00443084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Toto ustanovení dopl</w:t>
      </w:r>
      <w:r w:rsidR="001C7952" w:rsidRPr="00BE7E3B">
        <w:rPr>
          <w:rFonts w:ascii="Arial" w:hAnsi="Arial" w:cs="Arial"/>
          <w:sz w:val="24"/>
          <w:szCs w:val="24"/>
          <w:lang w:eastAsia="zh-CN"/>
        </w:rPr>
        <w:t>ňuje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položk</w:t>
      </w:r>
      <w:r w:rsidR="001C7952" w:rsidRPr="00BE7E3B">
        <w:rPr>
          <w:rFonts w:ascii="Arial" w:hAnsi="Arial" w:cs="Arial"/>
          <w:sz w:val="24"/>
          <w:szCs w:val="24"/>
          <w:lang w:eastAsia="zh-CN"/>
        </w:rPr>
        <w:t>u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č. 4 dotazníku s cílem 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předej</w:t>
      </w:r>
      <w:r w:rsidRPr="00BE7E3B">
        <w:rPr>
          <w:rFonts w:ascii="Arial" w:hAnsi="Arial" w:cs="Arial"/>
          <w:sz w:val="24"/>
          <w:szCs w:val="24"/>
          <w:lang w:eastAsia="zh-CN"/>
        </w:rPr>
        <w:t>ít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následným výzvám k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upřesnění údajů podle § 103 zákona v případech, kdy žadatel o vydání veřejné listiny přebírá poštu na adrese, 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k níž nemá zjevnou vazbu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. Vztah k doručovací adrese může indikovat skutečnost relevantní z hlediska ověřování podmínek pro vydání osvědčení.</w:t>
      </w:r>
    </w:p>
    <w:p w:rsidR="00CF1D0B" w:rsidRPr="00BE7E3B" w:rsidRDefault="00CF1D0B" w:rsidP="00CF1D0B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Současně dochází k přečíslování stávajících bodů 4.7 až 4.9.</w:t>
      </w:r>
    </w:p>
    <w:p w:rsidR="00017611" w:rsidRPr="00BE7E3B" w:rsidRDefault="00017611" w:rsidP="003600D1">
      <w:pPr>
        <w:rPr>
          <w:rFonts w:ascii="Arial" w:hAnsi="Arial" w:cs="Arial"/>
          <w:b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CF1D0B" w:rsidRPr="00BE7E3B">
        <w:rPr>
          <w:rFonts w:ascii="Arial" w:hAnsi="Arial" w:cs="Arial"/>
          <w:b/>
          <w:sz w:val="24"/>
          <w:szCs w:val="24"/>
          <w:lang w:eastAsia="zh-CN"/>
        </w:rPr>
        <w:t xml:space="preserve"> 8 (příloha č. 6, bod 9.4)</w:t>
      </w:r>
    </w:p>
    <w:p w:rsidR="00CF1D0B" w:rsidRPr="00BE7E3B" w:rsidRDefault="00443084" w:rsidP="00443084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Navrhuje se upřesnění</w:t>
      </w:r>
      <w:r w:rsidR="001C7952" w:rsidRPr="00BE7E3B">
        <w:rPr>
          <w:rFonts w:ascii="Arial" w:hAnsi="Arial" w:cs="Arial"/>
          <w:sz w:val="24"/>
          <w:szCs w:val="24"/>
          <w:lang w:eastAsia="zh-CN"/>
        </w:rPr>
        <w:t xml:space="preserve"> v podobě redukce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této položky dotazníku v souvislosti s aplikační praxi, kdy ž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adatelé v tomto bodě dotazníku fyzické osoby uvádějí různá majetková pojištění a pojištění odpovědnosti</w:t>
      </w:r>
      <w:r w:rsidRPr="00BE7E3B">
        <w:rPr>
          <w:rFonts w:ascii="Arial" w:hAnsi="Arial" w:cs="Arial"/>
          <w:sz w:val="24"/>
          <w:szCs w:val="24"/>
          <w:lang w:eastAsia="zh-CN"/>
        </w:rPr>
        <w:t>, avšak t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yto skutečnosti nejsou pro posouzení, zda žadatel splňuje podmínky pro vydání osvědčení, relevantní.</w:t>
      </w:r>
    </w:p>
    <w:p w:rsidR="00443084" w:rsidRPr="00BE7E3B" w:rsidRDefault="00443084" w:rsidP="003600D1">
      <w:pPr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CF1D0B" w:rsidRPr="00BE7E3B">
        <w:rPr>
          <w:rFonts w:ascii="Arial" w:hAnsi="Arial" w:cs="Arial"/>
          <w:b/>
          <w:sz w:val="24"/>
          <w:szCs w:val="24"/>
          <w:lang w:eastAsia="zh-CN"/>
        </w:rPr>
        <w:t xml:space="preserve"> 9 (příloha č. 6, bod 9.8)</w:t>
      </w:r>
    </w:p>
    <w:p w:rsidR="00CF1D0B" w:rsidRPr="00BE7E3B" w:rsidRDefault="00443084" w:rsidP="00443084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Toto ustanovení upřesňuje vymezení pojmu movitá věc</w:t>
      </w:r>
      <w:r w:rsidR="00EB32F1" w:rsidRPr="00BE7E3B">
        <w:rPr>
          <w:rFonts w:ascii="Arial" w:hAnsi="Arial" w:cs="Arial"/>
          <w:sz w:val="24"/>
          <w:szCs w:val="24"/>
          <w:lang w:eastAsia="zh-CN"/>
        </w:rPr>
        <w:t xml:space="preserve"> a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na základě zkušeností z praxe </w:t>
      </w:r>
      <w:r w:rsidR="00EB32F1" w:rsidRPr="00BE7E3B">
        <w:rPr>
          <w:rFonts w:ascii="Arial" w:hAnsi="Arial" w:cs="Arial"/>
          <w:sz w:val="24"/>
          <w:szCs w:val="24"/>
          <w:lang w:eastAsia="zh-CN"/>
        </w:rPr>
        <w:t>upřesňuje</w:t>
      </w:r>
      <w:r w:rsidRPr="00BE7E3B">
        <w:rPr>
          <w:rFonts w:ascii="Arial" w:hAnsi="Arial" w:cs="Arial"/>
          <w:sz w:val="24"/>
          <w:szCs w:val="24"/>
          <w:lang w:eastAsia="zh-CN"/>
        </w:rPr>
        <w:t>, co vše je chápáno jako movitý majetek</w:t>
      </w:r>
      <w:r w:rsidR="00EB32F1" w:rsidRPr="00BE7E3B">
        <w:rPr>
          <w:rFonts w:ascii="Arial" w:hAnsi="Arial" w:cs="Arial"/>
          <w:sz w:val="24"/>
          <w:szCs w:val="24"/>
          <w:lang w:eastAsia="zh-CN"/>
        </w:rPr>
        <w:t>, tj. i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podíl v obchodní </w:t>
      </w:r>
      <w:r w:rsidR="00EB32F1" w:rsidRPr="00BE7E3B">
        <w:rPr>
          <w:rFonts w:ascii="Arial" w:hAnsi="Arial" w:cs="Arial"/>
          <w:sz w:val="24"/>
          <w:szCs w:val="24"/>
          <w:lang w:eastAsia="zh-CN"/>
        </w:rPr>
        <w:t xml:space="preserve">korporaci a </w:t>
      </w:r>
      <w:r w:rsidR="001C7952" w:rsidRPr="00BE7E3B">
        <w:rPr>
          <w:rFonts w:ascii="Arial" w:hAnsi="Arial" w:cs="Arial"/>
          <w:sz w:val="24"/>
          <w:szCs w:val="24"/>
          <w:lang w:eastAsia="zh-CN"/>
        </w:rPr>
        <w:t xml:space="preserve">tzv. </w:t>
      </w:r>
      <w:r w:rsidR="00EB32F1" w:rsidRPr="00BE7E3B">
        <w:rPr>
          <w:rFonts w:ascii="Arial" w:hAnsi="Arial" w:cs="Arial"/>
          <w:sz w:val="24"/>
          <w:szCs w:val="24"/>
          <w:lang w:eastAsia="zh-CN"/>
        </w:rPr>
        <w:t>kryptoměny. Virtuální měny jsou p</w:t>
      </w:r>
      <w:r w:rsidRPr="00BE7E3B">
        <w:rPr>
          <w:rFonts w:ascii="Arial" w:hAnsi="Arial" w:cs="Arial"/>
          <w:sz w:val="24"/>
          <w:szCs w:val="24"/>
          <w:lang w:eastAsia="zh-CN"/>
        </w:rPr>
        <w:t>od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le stanoviska G</w:t>
      </w:r>
      <w:r w:rsidRPr="00BE7E3B">
        <w:rPr>
          <w:rFonts w:ascii="Arial" w:hAnsi="Arial" w:cs="Arial"/>
          <w:sz w:val="24"/>
          <w:szCs w:val="24"/>
          <w:lang w:eastAsia="zh-CN"/>
        </w:rPr>
        <w:t>enerálního finančního ředitelství</w:t>
      </w:r>
      <w:r w:rsidR="00EB32F1"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z pohledu soukromého práva nehmotnou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- 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movitou věcí.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CF1D0B" w:rsidRPr="00BE7E3B" w:rsidRDefault="00CF1D0B" w:rsidP="003600D1">
      <w:pPr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CF1D0B" w:rsidRPr="00BE7E3B">
        <w:rPr>
          <w:rFonts w:ascii="Arial" w:hAnsi="Arial" w:cs="Arial"/>
          <w:b/>
          <w:sz w:val="24"/>
          <w:szCs w:val="24"/>
          <w:lang w:eastAsia="zh-CN"/>
        </w:rPr>
        <w:t xml:space="preserve"> 10 (příloha č. 6, bod 9.11.5)</w:t>
      </w:r>
    </w:p>
    <w:p w:rsidR="00CF1D0B" w:rsidRPr="00BE7E3B" w:rsidRDefault="00CF1D0B" w:rsidP="00EB32F1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Navrhuje</w:t>
      </w:r>
      <w:r w:rsidR="00954C96" w:rsidRPr="00BE7E3B">
        <w:rPr>
          <w:rFonts w:ascii="Arial" w:hAnsi="Arial" w:cs="Arial"/>
          <w:sz w:val="24"/>
          <w:szCs w:val="24"/>
          <w:lang w:eastAsia="zh-CN"/>
        </w:rPr>
        <w:t xml:space="preserve"> se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doplnit </w:t>
      </w:r>
      <w:r w:rsidR="00954C96" w:rsidRPr="00BE7E3B">
        <w:rPr>
          <w:rFonts w:ascii="Arial" w:hAnsi="Arial" w:cs="Arial"/>
          <w:sz w:val="24"/>
          <w:szCs w:val="24"/>
          <w:lang w:eastAsia="zh-CN"/>
        </w:rPr>
        <w:t>předmětnou položku dotazníku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o </w:t>
      </w:r>
      <w:r w:rsidR="00954C96" w:rsidRPr="00BE7E3B">
        <w:rPr>
          <w:rFonts w:ascii="Arial" w:hAnsi="Arial" w:cs="Arial"/>
          <w:sz w:val="24"/>
          <w:szCs w:val="24"/>
          <w:lang w:eastAsia="zh-CN"/>
        </w:rPr>
        <w:t xml:space="preserve">tyto </w:t>
      </w:r>
      <w:r w:rsidRPr="00BE7E3B">
        <w:rPr>
          <w:rFonts w:ascii="Arial" w:hAnsi="Arial" w:cs="Arial"/>
          <w:sz w:val="24"/>
          <w:szCs w:val="24"/>
          <w:lang w:eastAsia="zh-CN"/>
        </w:rPr>
        <w:t>údaje</w:t>
      </w:r>
      <w:r w:rsidR="00954C96"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ve vztahu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k pohledávkám </w:t>
      </w:r>
      <w:r w:rsidR="00954C96" w:rsidRPr="00BE7E3B">
        <w:rPr>
          <w:rFonts w:ascii="Arial" w:hAnsi="Arial" w:cs="Arial"/>
          <w:sz w:val="24"/>
          <w:szCs w:val="24"/>
          <w:lang w:eastAsia="zh-CN"/>
        </w:rPr>
        <w:t>žadatele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, neboť </w:t>
      </w:r>
      <w:r w:rsidR="00954C96" w:rsidRPr="00BE7E3B">
        <w:rPr>
          <w:rFonts w:ascii="Arial" w:hAnsi="Arial" w:cs="Arial"/>
          <w:sz w:val="24"/>
          <w:szCs w:val="24"/>
          <w:lang w:eastAsia="zh-CN"/>
        </w:rPr>
        <w:t>jsou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důležité pro posouzení majetkových poměrů žadatel</w:t>
      </w:r>
      <w:r w:rsidR="00954C96" w:rsidRPr="00BE7E3B">
        <w:rPr>
          <w:rFonts w:ascii="Arial" w:hAnsi="Arial" w:cs="Arial"/>
          <w:sz w:val="24"/>
          <w:szCs w:val="24"/>
          <w:lang w:eastAsia="zh-CN"/>
        </w:rPr>
        <w:t>e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. Tyto údaje jsou častým předmětem výzev podle § 103 zákona i pohovorů podle § 105 zákona. Jejich doplněním by tak </w:t>
      </w:r>
      <w:r w:rsidR="00954C96" w:rsidRPr="00BE7E3B">
        <w:rPr>
          <w:rFonts w:ascii="Arial" w:hAnsi="Arial" w:cs="Arial"/>
          <w:sz w:val="24"/>
          <w:szCs w:val="24"/>
          <w:lang w:eastAsia="zh-CN"/>
        </w:rPr>
        <w:t>mělo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dojít ke snížení potřeby činit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Pr="00BE7E3B">
        <w:rPr>
          <w:rFonts w:ascii="Arial" w:hAnsi="Arial" w:cs="Arial"/>
          <w:sz w:val="24"/>
          <w:szCs w:val="24"/>
          <w:lang w:eastAsia="zh-CN"/>
        </w:rPr>
        <w:t>k pohledávkám žadatelů další úkony, které především zatěž</w:t>
      </w:r>
      <w:r w:rsidR="00954C96" w:rsidRPr="00BE7E3B">
        <w:rPr>
          <w:rFonts w:ascii="Arial" w:hAnsi="Arial" w:cs="Arial"/>
          <w:sz w:val="24"/>
          <w:szCs w:val="24"/>
          <w:lang w:eastAsia="zh-CN"/>
        </w:rPr>
        <w:t>ují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samotné účastníky řízení.</w:t>
      </w:r>
    </w:p>
    <w:p w:rsidR="00CF1D0B" w:rsidRPr="00BE7E3B" w:rsidRDefault="00CF1D0B" w:rsidP="00CF1D0B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CF1D0B" w:rsidRPr="00BE7E3B">
        <w:rPr>
          <w:rFonts w:ascii="Arial" w:hAnsi="Arial" w:cs="Arial"/>
          <w:b/>
          <w:sz w:val="24"/>
          <w:szCs w:val="24"/>
          <w:lang w:eastAsia="zh-CN"/>
        </w:rPr>
        <w:t xml:space="preserve"> 11 (příloha č. 6, bod 11)</w:t>
      </w:r>
    </w:p>
    <w:p w:rsidR="00CF1D0B" w:rsidRPr="00BE7E3B" w:rsidRDefault="00EB32F1" w:rsidP="00EB32F1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Předmětné ustanovení s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ohledem na zkušenosti z praxe dopl</w:t>
      </w:r>
      <w:r w:rsidRPr="00BE7E3B">
        <w:rPr>
          <w:rFonts w:ascii="Arial" w:hAnsi="Arial" w:cs="Arial"/>
          <w:sz w:val="24"/>
          <w:szCs w:val="24"/>
          <w:lang w:eastAsia="zh-CN"/>
        </w:rPr>
        <w:t>ňuje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1C7952" w:rsidRPr="00BE7E3B">
        <w:rPr>
          <w:rFonts w:ascii="Arial" w:hAnsi="Arial" w:cs="Arial"/>
          <w:sz w:val="24"/>
          <w:szCs w:val="24"/>
          <w:lang w:eastAsia="zh-CN"/>
        </w:rPr>
        <w:t>danou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položku dotazníku o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vysvětlení, </w:t>
      </w:r>
      <w:r w:rsidRPr="00BE7E3B">
        <w:rPr>
          <w:rFonts w:ascii="Arial" w:hAnsi="Arial" w:cs="Arial"/>
          <w:sz w:val="24"/>
          <w:szCs w:val="24"/>
          <w:lang w:eastAsia="zh-CN"/>
        </w:rPr>
        <w:t>které nařízen</w:t>
      </w:r>
      <w:r w:rsidR="001C7952" w:rsidRPr="00BE7E3B">
        <w:rPr>
          <w:rFonts w:ascii="Arial" w:hAnsi="Arial" w:cs="Arial"/>
          <w:sz w:val="24"/>
          <w:szCs w:val="24"/>
          <w:lang w:eastAsia="zh-CN"/>
        </w:rPr>
        <w:t>é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výkony rozhodnutí je třeba uvádět. Ž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adatelé často uvádějí pouze aktuálně probíhající nařízené výkony rozhodnutí, ačkoliv by vzhledem k § 14 odst. 4 zákona měli uvádět i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skončené výkony rozhodnutí. Ty </w:t>
      </w:r>
      <w:r w:rsidRPr="00BE7E3B">
        <w:rPr>
          <w:rFonts w:ascii="Arial" w:hAnsi="Arial" w:cs="Arial"/>
          <w:sz w:val="24"/>
          <w:szCs w:val="24"/>
          <w:lang w:eastAsia="zh-CN"/>
        </w:rPr>
        <w:t>NBÚ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často není schopen zjistit ani z evidencí (viz § 3 odst. 2 vyhlášky </w:t>
      </w:r>
      <w:r w:rsidR="00890EC7" w:rsidRPr="00BE7E3B">
        <w:rPr>
          <w:rFonts w:ascii="Arial" w:hAnsi="Arial" w:cs="Arial"/>
          <w:sz w:val="24"/>
          <w:szCs w:val="24"/>
          <w:lang w:eastAsia="zh-CN"/>
        </w:rPr>
        <w:t xml:space="preserve">č. 329/2008 Sb.,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="00CF1D0B" w:rsidRPr="00BE7E3B">
        <w:rPr>
          <w:rFonts w:ascii="Arial" w:hAnsi="Arial" w:cs="Arial"/>
          <w:sz w:val="24"/>
          <w:szCs w:val="24"/>
          <w:lang w:eastAsia="zh-CN"/>
        </w:rPr>
        <w:t>o centrální evidenci exekucí</w:t>
      </w:r>
      <w:r w:rsidR="00890EC7" w:rsidRPr="00BE7E3B">
        <w:rPr>
          <w:rFonts w:ascii="Arial" w:hAnsi="Arial" w:cs="Arial"/>
          <w:sz w:val="24"/>
          <w:szCs w:val="24"/>
          <w:lang w:eastAsia="zh-CN"/>
        </w:rPr>
        <w:t>, ve znění pozdějších předpisů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).  </w:t>
      </w:r>
    </w:p>
    <w:p w:rsidR="00CF1D0B" w:rsidRPr="00BE7E3B" w:rsidRDefault="00CF1D0B" w:rsidP="00CF1D0B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CF1D0B" w:rsidRPr="00BE7E3B">
        <w:rPr>
          <w:rFonts w:ascii="Arial" w:hAnsi="Arial" w:cs="Arial"/>
          <w:b/>
          <w:sz w:val="24"/>
          <w:szCs w:val="24"/>
          <w:lang w:eastAsia="zh-CN"/>
        </w:rPr>
        <w:t xml:space="preserve"> 12 (příloha č. 6, bod 16)</w:t>
      </w:r>
    </w:p>
    <w:p w:rsidR="00CF1D0B" w:rsidRPr="00BE7E3B" w:rsidRDefault="006B6126" w:rsidP="006B6126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 xml:space="preserve">Toto ustanovení terminologicky zpřesňuje stávající znění této položky dotazníku. 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Aktuální zákonná úprava upravující oblast návykových látek a užívání alkoholu (např. zákon č. 167/1998 Sb., o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návykových látkách, zákon č. 65/2017 Sb.,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="00CF1D0B" w:rsidRPr="00BE7E3B">
        <w:rPr>
          <w:rFonts w:ascii="Arial" w:hAnsi="Arial" w:cs="Arial"/>
          <w:sz w:val="24"/>
          <w:szCs w:val="24"/>
          <w:lang w:eastAsia="zh-CN"/>
        </w:rPr>
        <w:t>o ochraně zdraví před škodlivými vlivy návykových látek, zákon č. 40/2009 Sb., trestní zákoník) neobsahuje seznam návykových (resp. omamných a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psychotropních) látek. Tyto právní předpisy obsahují pouze definici, co se návykovou látkou rozumí, přičemž některé zákony tento pojem vykládají jen pro účely své úpravy. Zákon č. 167/1998 Sb., o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návykových látkách definuje návykové látky jako omamné látky a psychotropní látky uvedené v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přílohách č. 1 až 7 nařízení vlády </w:t>
      </w:r>
      <w:r w:rsidR="0033587B" w:rsidRPr="00BE7E3B">
        <w:rPr>
          <w:rFonts w:ascii="Arial" w:hAnsi="Arial" w:cs="Arial"/>
          <w:sz w:val="24"/>
          <w:szCs w:val="24"/>
          <w:lang w:eastAsia="zh-CN"/>
        </w:rPr>
        <w:t xml:space="preserve">č. 463/2013 Sb., 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o seznam</w:t>
      </w:r>
      <w:r w:rsidR="0033587B" w:rsidRPr="00BE7E3B">
        <w:rPr>
          <w:rFonts w:ascii="Arial" w:hAnsi="Arial" w:cs="Arial"/>
          <w:sz w:val="24"/>
          <w:szCs w:val="24"/>
          <w:lang w:eastAsia="zh-CN"/>
        </w:rPr>
        <w:t>ech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návykových látek. S ohledem na </w:t>
      </w:r>
      <w:r w:rsidR="00506B0A" w:rsidRPr="00BE7E3B">
        <w:rPr>
          <w:rFonts w:ascii="Arial" w:hAnsi="Arial" w:cs="Arial"/>
          <w:sz w:val="24"/>
          <w:szCs w:val="24"/>
          <w:lang w:eastAsia="zh-CN"/>
        </w:rPr>
        <w:t>tuto skutečnost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3587B" w:rsidRPr="00BE7E3B">
        <w:rPr>
          <w:rFonts w:ascii="Arial" w:hAnsi="Arial" w:cs="Arial"/>
          <w:sz w:val="24"/>
          <w:szCs w:val="24"/>
          <w:lang w:eastAsia="zh-CN"/>
        </w:rPr>
        <w:t>je navrhováno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upravit znění bodu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="00CF1D0B" w:rsidRPr="00BE7E3B">
        <w:rPr>
          <w:rFonts w:ascii="Arial" w:hAnsi="Arial" w:cs="Arial"/>
          <w:sz w:val="24"/>
          <w:szCs w:val="24"/>
          <w:lang w:eastAsia="zh-CN"/>
        </w:rPr>
        <w:t>16 tak, aby odpovídalo současné právní úpravě.</w:t>
      </w:r>
    </w:p>
    <w:p w:rsidR="00CF1D0B" w:rsidRPr="00BE7E3B" w:rsidRDefault="006B6126" w:rsidP="006B6126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lastRenderedPageBreak/>
        <w:t>Dále dochází k terminologickému zpřesnění účasti na hazardních hrách, kdy p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odle dosavadního znění </w:t>
      </w:r>
      <w:r w:rsidRPr="00BE7E3B">
        <w:rPr>
          <w:rFonts w:ascii="Arial" w:hAnsi="Arial" w:cs="Arial"/>
          <w:sz w:val="24"/>
          <w:szCs w:val="24"/>
          <w:lang w:eastAsia="zh-CN"/>
        </w:rPr>
        <w:t>nebyly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pokryty relevantní formy hazardu </w:t>
      </w:r>
      <w:r w:rsidRPr="00BE7E3B">
        <w:rPr>
          <w:rFonts w:ascii="Arial" w:hAnsi="Arial" w:cs="Arial"/>
          <w:sz w:val="24"/>
          <w:szCs w:val="24"/>
          <w:lang w:eastAsia="zh-CN"/>
        </w:rPr>
        <w:t>po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dle zákona</w:t>
      </w:r>
      <w:r w:rsidR="00506B0A"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="00506B0A" w:rsidRPr="00BE7E3B">
        <w:rPr>
          <w:rFonts w:ascii="Arial" w:hAnsi="Arial" w:cs="Arial"/>
          <w:sz w:val="24"/>
          <w:szCs w:val="24"/>
          <w:lang w:eastAsia="zh-CN"/>
        </w:rPr>
        <w:t>č. 186/2016 Sb.,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o hazardních hrách</w:t>
      </w:r>
      <w:r w:rsidR="00506B0A" w:rsidRPr="00BE7E3B">
        <w:rPr>
          <w:rFonts w:ascii="Arial" w:hAnsi="Arial" w:cs="Arial"/>
          <w:sz w:val="24"/>
          <w:szCs w:val="24"/>
          <w:lang w:eastAsia="zh-CN"/>
        </w:rPr>
        <w:t>, ve znění pozdějších předpisů,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 xml:space="preserve"> např. tzv. živé hry (tedy </w:t>
      </w:r>
      <w:r w:rsidR="008E1BD8" w:rsidRPr="00BE7E3B">
        <w:rPr>
          <w:rFonts w:ascii="Arial" w:hAnsi="Arial" w:cs="Arial"/>
          <w:sz w:val="24"/>
          <w:szCs w:val="24"/>
          <w:lang w:eastAsia="zh-CN"/>
        </w:rPr>
        <w:t xml:space="preserve">i </w:t>
      </w:r>
      <w:r w:rsidR="00CF1D0B" w:rsidRPr="00BE7E3B">
        <w:rPr>
          <w:rFonts w:ascii="Arial" w:hAnsi="Arial" w:cs="Arial"/>
          <w:sz w:val="24"/>
          <w:szCs w:val="24"/>
          <w:lang w:eastAsia="zh-CN"/>
        </w:rPr>
        <w:t>casino).</w:t>
      </w:r>
    </w:p>
    <w:p w:rsidR="00CF1D0B" w:rsidRPr="00BE7E3B" w:rsidRDefault="00CF1D0B" w:rsidP="00CF1D0B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CF1D0B" w:rsidRPr="00BE7E3B">
        <w:rPr>
          <w:rFonts w:ascii="Arial" w:hAnsi="Arial" w:cs="Arial"/>
          <w:b/>
          <w:sz w:val="24"/>
          <w:szCs w:val="24"/>
          <w:lang w:eastAsia="zh-CN"/>
        </w:rPr>
        <w:t xml:space="preserve"> 13 </w:t>
      </w:r>
      <w:r w:rsidR="004756D5" w:rsidRPr="00BE7E3B">
        <w:rPr>
          <w:rFonts w:ascii="Arial" w:hAnsi="Arial" w:cs="Arial"/>
          <w:b/>
          <w:sz w:val="24"/>
          <w:szCs w:val="24"/>
          <w:lang w:eastAsia="zh-CN"/>
        </w:rPr>
        <w:t xml:space="preserve">a 14 </w:t>
      </w:r>
      <w:r w:rsidR="00CF1D0B" w:rsidRPr="00BE7E3B">
        <w:rPr>
          <w:rFonts w:ascii="Arial" w:hAnsi="Arial" w:cs="Arial"/>
          <w:b/>
          <w:sz w:val="24"/>
          <w:szCs w:val="24"/>
          <w:lang w:eastAsia="zh-CN"/>
        </w:rPr>
        <w:t xml:space="preserve">(příloha č. 6, bod </w:t>
      </w:r>
      <w:r w:rsidR="004756D5" w:rsidRPr="00BE7E3B">
        <w:rPr>
          <w:rFonts w:ascii="Arial" w:hAnsi="Arial" w:cs="Arial"/>
          <w:b/>
          <w:sz w:val="24"/>
          <w:szCs w:val="24"/>
          <w:lang w:eastAsia="zh-CN"/>
        </w:rPr>
        <w:t>16.1.1 a 16.1.2)</w:t>
      </w:r>
    </w:p>
    <w:p w:rsidR="004756D5" w:rsidRPr="00BE7E3B" w:rsidRDefault="006B6126" w:rsidP="006B6126">
      <w:pPr>
        <w:ind w:firstLine="708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Navrhovaná změna má přispět ke z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>jednodušení položky</w:t>
      </w:r>
      <w:r w:rsidRPr="00BE7E3B">
        <w:rPr>
          <w:rFonts w:ascii="Arial" w:hAnsi="Arial" w:cs="Arial"/>
          <w:sz w:val="24"/>
          <w:szCs w:val="24"/>
          <w:lang w:eastAsia="zh-CN"/>
        </w:rPr>
        <w:t>.</w:t>
      </w:r>
    </w:p>
    <w:p w:rsidR="004756D5" w:rsidRPr="00BE7E3B" w:rsidRDefault="004756D5" w:rsidP="003600D1">
      <w:pPr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4756D5" w:rsidRPr="00BE7E3B">
        <w:rPr>
          <w:rFonts w:ascii="Arial" w:hAnsi="Arial" w:cs="Arial"/>
          <w:b/>
          <w:sz w:val="24"/>
          <w:szCs w:val="24"/>
          <w:lang w:eastAsia="zh-CN"/>
        </w:rPr>
        <w:t xml:space="preserve"> 15 (příloha č. 6, bod 16.2.1)</w:t>
      </w:r>
    </w:p>
    <w:p w:rsidR="004756D5" w:rsidRPr="00BE7E3B" w:rsidRDefault="00B9541F" w:rsidP="005B79BF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Navrhuje se</w:t>
      </w:r>
      <w:r w:rsidR="008E1BD8" w:rsidRPr="00BE7E3B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 ohledem na zkušenosti z praxe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podrobněji 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>dopl</w:t>
      </w:r>
      <w:r w:rsidRPr="00BE7E3B">
        <w:rPr>
          <w:rFonts w:ascii="Arial" w:hAnsi="Arial" w:cs="Arial"/>
          <w:sz w:val="24"/>
          <w:szCs w:val="24"/>
          <w:lang w:eastAsia="zh-CN"/>
        </w:rPr>
        <w:t>nit, jaké údaje je třeba uvést v této položce. Jedná se přitom o údaje obdobné jako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 u omamných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a psychotropních látek.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V aplikační praxi je tato položka jedna 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>z nejvíce upřesňovaných v rámci úkonu podle § 103 zákona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a navrhovaná změna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 by </w:t>
      </w:r>
      <w:r w:rsidRPr="00BE7E3B">
        <w:rPr>
          <w:rFonts w:ascii="Arial" w:hAnsi="Arial" w:cs="Arial"/>
          <w:sz w:val="24"/>
          <w:szCs w:val="24"/>
          <w:lang w:eastAsia="zh-CN"/>
        </w:rPr>
        <w:t>tak měla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 přinést snížení administrativní zátěže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účastníků bezpečnostního řízení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>.</w:t>
      </w:r>
    </w:p>
    <w:p w:rsidR="004756D5" w:rsidRPr="00BE7E3B" w:rsidRDefault="004756D5" w:rsidP="003600D1">
      <w:pPr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4756D5" w:rsidRPr="00BE7E3B">
        <w:rPr>
          <w:rFonts w:ascii="Arial" w:hAnsi="Arial" w:cs="Arial"/>
          <w:b/>
          <w:sz w:val="24"/>
          <w:szCs w:val="24"/>
          <w:lang w:eastAsia="zh-CN"/>
        </w:rPr>
        <w:t xml:space="preserve"> 16 (příloha č. 6, bod 16.3)</w:t>
      </w:r>
    </w:p>
    <w:p w:rsidR="004756D5" w:rsidRPr="00BE7E3B" w:rsidRDefault="00B9541F" w:rsidP="00506B0A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Toto ustanovení t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>erminologick</w:t>
      </w:r>
      <w:r w:rsidRPr="00BE7E3B">
        <w:rPr>
          <w:rFonts w:ascii="Arial" w:hAnsi="Arial" w:cs="Arial"/>
          <w:sz w:val="24"/>
          <w:szCs w:val="24"/>
          <w:lang w:eastAsia="zh-CN"/>
        </w:rPr>
        <w:t>y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 zpřes</w:t>
      </w:r>
      <w:r w:rsidRPr="00BE7E3B">
        <w:rPr>
          <w:rFonts w:ascii="Arial" w:hAnsi="Arial" w:cs="Arial"/>
          <w:sz w:val="24"/>
          <w:szCs w:val="24"/>
          <w:lang w:eastAsia="zh-CN"/>
        </w:rPr>
        <w:t>ňuje předmětnou položku dotazníku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. Podle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stávajícího 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znění nejsou pokryty relevantní formy hazardu </w:t>
      </w:r>
      <w:r w:rsidRPr="00BE7E3B">
        <w:rPr>
          <w:rFonts w:ascii="Arial" w:hAnsi="Arial" w:cs="Arial"/>
          <w:sz w:val="24"/>
          <w:szCs w:val="24"/>
          <w:lang w:eastAsia="zh-CN"/>
        </w:rPr>
        <w:t>po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dle zákona </w:t>
      </w:r>
      <w:r w:rsidR="006A5073">
        <w:rPr>
          <w:rFonts w:ascii="Arial" w:hAnsi="Arial" w:cs="Arial"/>
          <w:sz w:val="24"/>
          <w:szCs w:val="24"/>
          <w:lang w:eastAsia="zh-CN"/>
        </w:rPr>
        <w:br/>
      </w:r>
      <w:r w:rsidR="00506B0A" w:rsidRPr="00BE7E3B">
        <w:rPr>
          <w:rFonts w:ascii="Arial" w:hAnsi="Arial" w:cs="Arial"/>
          <w:sz w:val="24"/>
          <w:szCs w:val="24"/>
          <w:lang w:eastAsia="zh-CN"/>
        </w:rPr>
        <w:t>č. 186/2016 Sb., o hazardních hrách, ve znění pozdějších předpisů,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 např. tzv. živé hry (tedy casino)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,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a navrhovaná změna tak tuto skutečnost narovnává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>.</w:t>
      </w:r>
    </w:p>
    <w:p w:rsidR="00506B0A" w:rsidRPr="00BE7E3B" w:rsidRDefault="00506B0A" w:rsidP="003600D1">
      <w:pPr>
        <w:rPr>
          <w:rFonts w:ascii="Arial" w:hAnsi="Arial" w:cs="Arial"/>
          <w:b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4756D5" w:rsidRPr="00BE7E3B">
        <w:rPr>
          <w:rFonts w:ascii="Arial" w:hAnsi="Arial" w:cs="Arial"/>
          <w:b/>
          <w:sz w:val="24"/>
          <w:szCs w:val="24"/>
          <w:lang w:eastAsia="zh-CN"/>
        </w:rPr>
        <w:t xml:space="preserve"> 17 (příloha č. 6, bod 16.3.1)</w:t>
      </w:r>
    </w:p>
    <w:p w:rsidR="004756D5" w:rsidRPr="00BE7E3B" w:rsidRDefault="007F1AD1" w:rsidP="00A84654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Navrhovaná změna pouze upřesňuje stávající znění.</w:t>
      </w:r>
    </w:p>
    <w:p w:rsidR="004756D5" w:rsidRPr="00BE7E3B" w:rsidRDefault="004756D5" w:rsidP="003600D1">
      <w:pPr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4756D5" w:rsidRPr="00BE7E3B">
        <w:rPr>
          <w:rFonts w:ascii="Arial" w:hAnsi="Arial" w:cs="Arial"/>
          <w:b/>
          <w:sz w:val="24"/>
          <w:szCs w:val="24"/>
          <w:lang w:eastAsia="zh-CN"/>
        </w:rPr>
        <w:t xml:space="preserve"> 18 (příloha č. 6, bod 16.4)</w:t>
      </w:r>
    </w:p>
    <w:p w:rsidR="004756D5" w:rsidRPr="00BE7E3B" w:rsidRDefault="00556949" w:rsidP="00556949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Navrhuje se terminologicky zpřesnit danou položku a dále ji rozšířit i o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 diagnózy</w:t>
      </w:r>
      <w:r w:rsidRPr="00BE7E3B">
        <w:rPr>
          <w:rFonts w:ascii="Arial" w:hAnsi="Arial" w:cs="Arial"/>
          <w:sz w:val="24"/>
          <w:szCs w:val="24"/>
          <w:lang w:eastAsia="zh-CN"/>
        </w:rPr>
        <w:t>,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 které nenaplňují kritéria syndromu závislosti.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6529C" w:rsidRPr="00BE7E3B">
        <w:rPr>
          <w:rFonts w:ascii="Arial" w:hAnsi="Arial" w:cs="Arial"/>
          <w:sz w:val="24"/>
          <w:szCs w:val="24"/>
          <w:lang w:eastAsia="zh-CN"/>
        </w:rPr>
        <w:t xml:space="preserve">Fyzická osoba tak podá 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>kompletní informace</w:t>
      </w:r>
      <w:r w:rsidR="0056529C" w:rsidRPr="00BE7E3B">
        <w:rPr>
          <w:rFonts w:ascii="Arial" w:hAnsi="Arial" w:cs="Arial"/>
          <w:sz w:val="24"/>
          <w:szCs w:val="24"/>
          <w:lang w:eastAsia="zh-CN"/>
        </w:rPr>
        <w:t xml:space="preserve"> potřebné k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>relevantn</w:t>
      </w:r>
      <w:r w:rsidR="0056529C" w:rsidRPr="00BE7E3B">
        <w:rPr>
          <w:rFonts w:ascii="Arial" w:hAnsi="Arial" w:cs="Arial"/>
          <w:sz w:val="24"/>
          <w:szCs w:val="24"/>
          <w:lang w:eastAsia="zh-CN"/>
        </w:rPr>
        <w:t>ímu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 posou</w:t>
      </w:r>
      <w:r w:rsidRPr="00BE7E3B">
        <w:rPr>
          <w:rFonts w:ascii="Arial" w:hAnsi="Arial" w:cs="Arial"/>
          <w:sz w:val="24"/>
          <w:szCs w:val="24"/>
          <w:lang w:eastAsia="zh-CN"/>
        </w:rPr>
        <w:t>zení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, zda žadatel splňuje podmínku osobnostní způsobilosti, resp. bezpečnostní spolehlivosti, která může být problémovým užíváním alkoholu či omamných a psychotropních látek (tedy nejen závislostí) rovněž ovlivněna. Opět se jedná o informace, které </w:t>
      </w:r>
      <w:r w:rsidRPr="00BE7E3B">
        <w:rPr>
          <w:rFonts w:ascii="Arial" w:hAnsi="Arial" w:cs="Arial"/>
          <w:sz w:val="24"/>
          <w:szCs w:val="24"/>
          <w:lang w:eastAsia="zh-CN"/>
        </w:rPr>
        <w:t>NBÚ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 bez jakýkoliv předchozích indicií nemusí v průběhu bezpečnostního řízení zjistit. Stěžejní je tak vyjádření 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samotného </w:t>
      </w:r>
      <w:r w:rsidR="004756D5" w:rsidRPr="00BE7E3B">
        <w:rPr>
          <w:rFonts w:ascii="Arial" w:hAnsi="Arial" w:cs="Arial"/>
          <w:sz w:val="24"/>
          <w:szCs w:val="24"/>
          <w:lang w:eastAsia="zh-CN"/>
        </w:rPr>
        <w:t xml:space="preserve">žadatele.  </w:t>
      </w:r>
    </w:p>
    <w:p w:rsidR="004756D5" w:rsidRPr="00BE7E3B" w:rsidRDefault="004756D5" w:rsidP="004756D5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3600D1" w:rsidRPr="00BE7E3B" w:rsidRDefault="003600D1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 bodu</w:t>
      </w:r>
      <w:r w:rsidR="004756D5" w:rsidRPr="00BE7E3B">
        <w:rPr>
          <w:rFonts w:ascii="Arial" w:hAnsi="Arial" w:cs="Arial"/>
          <w:b/>
          <w:sz w:val="24"/>
          <w:szCs w:val="24"/>
          <w:lang w:eastAsia="zh-CN"/>
        </w:rPr>
        <w:t xml:space="preserve"> 19 (příloha č. 6, bod 16.4.1)</w:t>
      </w:r>
    </w:p>
    <w:p w:rsidR="004756D5" w:rsidRPr="00BE7E3B" w:rsidRDefault="007F1AD1" w:rsidP="006A5073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Navrhovaná změna pouze upřesňuje stávající znění a precizuje podrobného vyjádření k této položce.</w:t>
      </w:r>
    </w:p>
    <w:p w:rsidR="007F1AD1" w:rsidRPr="00BE7E3B" w:rsidRDefault="007F1AD1" w:rsidP="003600D1">
      <w:pPr>
        <w:rPr>
          <w:rFonts w:ascii="Arial" w:hAnsi="Arial" w:cs="Arial"/>
          <w:sz w:val="24"/>
          <w:szCs w:val="24"/>
          <w:lang w:eastAsia="zh-CN"/>
        </w:rPr>
      </w:pPr>
    </w:p>
    <w:p w:rsidR="004756D5" w:rsidRPr="00BE7E3B" w:rsidRDefault="004756D5" w:rsidP="003600D1">
      <w:pPr>
        <w:rPr>
          <w:rFonts w:ascii="Arial" w:hAnsi="Arial" w:cs="Arial"/>
          <w:b/>
          <w:sz w:val="24"/>
          <w:szCs w:val="24"/>
          <w:lang w:eastAsia="zh-CN"/>
        </w:rPr>
      </w:pPr>
      <w:r w:rsidRPr="00BE7E3B">
        <w:rPr>
          <w:rFonts w:ascii="Arial" w:hAnsi="Arial" w:cs="Arial"/>
          <w:b/>
          <w:sz w:val="24"/>
          <w:szCs w:val="24"/>
          <w:lang w:eastAsia="zh-CN"/>
        </w:rPr>
        <w:t>K Čl. II</w:t>
      </w:r>
    </w:p>
    <w:p w:rsidR="004756D5" w:rsidRPr="003600D1" w:rsidRDefault="004756D5" w:rsidP="00BB09BD">
      <w:pPr>
        <w:ind w:firstLine="708"/>
        <w:jc w:val="both"/>
        <w:rPr>
          <w:lang w:eastAsia="zh-CN"/>
        </w:rPr>
      </w:pPr>
      <w:r w:rsidRPr="00BE7E3B">
        <w:rPr>
          <w:rFonts w:ascii="Arial" w:hAnsi="Arial" w:cs="Arial"/>
          <w:sz w:val="24"/>
          <w:szCs w:val="24"/>
          <w:lang w:eastAsia="zh-CN"/>
        </w:rPr>
        <w:t>Účinnost je navrhována dnem 1. ledna 202</w:t>
      </w:r>
      <w:r w:rsidR="00C57646" w:rsidRPr="00BE7E3B">
        <w:rPr>
          <w:rFonts w:ascii="Arial" w:hAnsi="Arial" w:cs="Arial"/>
          <w:sz w:val="24"/>
          <w:szCs w:val="24"/>
          <w:lang w:eastAsia="zh-CN"/>
        </w:rPr>
        <w:t>2</w:t>
      </w:r>
      <w:r w:rsidRPr="00BE7E3B">
        <w:rPr>
          <w:rFonts w:ascii="Arial" w:hAnsi="Arial" w:cs="Arial"/>
          <w:sz w:val="24"/>
          <w:szCs w:val="24"/>
          <w:lang w:eastAsia="zh-CN"/>
        </w:rPr>
        <w:t xml:space="preserve">, v souladu </w:t>
      </w:r>
      <w:r w:rsidR="00C77740" w:rsidRPr="00BE7E3B">
        <w:rPr>
          <w:rFonts w:ascii="Arial" w:hAnsi="Arial" w:cs="Arial"/>
          <w:sz w:val="24"/>
          <w:szCs w:val="24"/>
          <w:lang w:eastAsia="zh-CN"/>
        </w:rPr>
        <w:t>s ustanovením § 3 odst. 3 zákona č.</w:t>
      </w:r>
      <w:r w:rsidR="00BB09BD" w:rsidRPr="00BE7E3B">
        <w:rPr>
          <w:rFonts w:ascii="Arial" w:hAnsi="Arial" w:cs="Arial"/>
          <w:sz w:val="24"/>
          <w:szCs w:val="24"/>
          <w:lang w:eastAsia="zh-CN"/>
        </w:rPr>
        <w:t> </w:t>
      </w:r>
      <w:r w:rsidR="00C77740" w:rsidRPr="00BE7E3B">
        <w:rPr>
          <w:rFonts w:ascii="Arial" w:hAnsi="Arial" w:cs="Arial"/>
          <w:sz w:val="24"/>
          <w:szCs w:val="24"/>
          <w:lang w:eastAsia="zh-CN"/>
        </w:rPr>
        <w:t>309/1999 Sb., o Sbírce zákonů a o Sbírce mezinárodních smluv, ve znění zákona č. 227/2019 Sb.</w:t>
      </w:r>
    </w:p>
    <w:sectPr w:rsidR="004756D5" w:rsidRPr="003600D1" w:rsidSect="00EE78F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2D4" w:rsidRDefault="002342D4" w:rsidP="00EE28C7">
      <w:r>
        <w:separator/>
      </w:r>
    </w:p>
  </w:endnote>
  <w:endnote w:type="continuationSeparator" w:id="0">
    <w:p w:rsidR="002342D4" w:rsidRDefault="002342D4" w:rsidP="00EE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414772"/>
      <w:docPartObj>
        <w:docPartGallery w:val="Page Numbers (Bottom of Page)"/>
        <w:docPartUnique/>
      </w:docPartObj>
    </w:sdtPr>
    <w:sdtEndPr/>
    <w:sdtContent>
      <w:p w:rsidR="00676C58" w:rsidRDefault="00676C5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6C58" w:rsidRDefault="00676C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6041968"/>
      <w:docPartObj>
        <w:docPartGallery w:val="Page Numbers (Bottom of Page)"/>
        <w:docPartUnique/>
      </w:docPartObj>
    </w:sdtPr>
    <w:sdtEndPr/>
    <w:sdtContent>
      <w:p w:rsidR="00676C58" w:rsidRDefault="00676C5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6C58" w:rsidRDefault="00676C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2D4" w:rsidRDefault="002342D4" w:rsidP="00EE28C7">
      <w:r>
        <w:separator/>
      </w:r>
    </w:p>
  </w:footnote>
  <w:footnote w:type="continuationSeparator" w:id="0">
    <w:p w:rsidR="002342D4" w:rsidRDefault="002342D4" w:rsidP="00EE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451E51"/>
    <w:multiLevelType w:val="hybridMultilevel"/>
    <w:tmpl w:val="E7868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B2A0C"/>
    <w:multiLevelType w:val="hybridMultilevel"/>
    <w:tmpl w:val="ED94FBA4"/>
    <w:lvl w:ilvl="0" w:tplc="65328B6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2A0BD5"/>
    <w:multiLevelType w:val="hybridMultilevel"/>
    <w:tmpl w:val="E718173A"/>
    <w:lvl w:ilvl="0" w:tplc="4AB21F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62"/>
    <w:rsid w:val="00003482"/>
    <w:rsid w:val="0000656C"/>
    <w:rsid w:val="00017611"/>
    <w:rsid w:val="00034CDF"/>
    <w:rsid w:val="000362A2"/>
    <w:rsid w:val="00070B49"/>
    <w:rsid w:val="000759BA"/>
    <w:rsid w:val="00086C30"/>
    <w:rsid w:val="00090FEE"/>
    <w:rsid w:val="000954F7"/>
    <w:rsid w:val="000D640F"/>
    <w:rsid w:val="000E01F3"/>
    <w:rsid w:val="0010381B"/>
    <w:rsid w:val="0012553F"/>
    <w:rsid w:val="001C7952"/>
    <w:rsid w:val="001D4C66"/>
    <w:rsid w:val="001D5663"/>
    <w:rsid w:val="001F2ED2"/>
    <w:rsid w:val="002041CE"/>
    <w:rsid w:val="00205847"/>
    <w:rsid w:val="00211493"/>
    <w:rsid w:val="002342D4"/>
    <w:rsid w:val="00246779"/>
    <w:rsid w:val="002469DB"/>
    <w:rsid w:val="00262104"/>
    <w:rsid w:val="002C4890"/>
    <w:rsid w:val="002C6E95"/>
    <w:rsid w:val="002D22FB"/>
    <w:rsid w:val="002D3F0A"/>
    <w:rsid w:val="002E1C6D"/>
    <w:rsid w:val="002E6F1D"/>
    <w:rsid w:val="00324471"/>
    <w:rsid w:val="00327C39"/>
    <w:rsid w:val="00330016"/>
    <w:rsid w:val="0033587B"/>
    <w:rsid w:val="003363A4"/>
    <w:rsid w:val="003600D1"/>
    <w:rsid w:val="003626CE"/>
    <w:rsid w:val="00390F53"/>
    <w:rsid w:val="003A5309"/>
    <w:rsid w:val="003C01CA"/>
    <w:rsid w:val="003E233A"/>
    <w:rsid w:val="003E7D24"/>
    <w:rsid w:val="00403E66"/>
    <w:rsid w:val="00430CF0"/>
    <w:rsid w:val="00443084"/>
    <w:rsid w:val="0046233E"/>
    <w:rsid w:val="00467E87"/>
    <w:rsid w:val="004756D5"/>
    <w:rsid w:val="0048262F"/>
    <w:rsid w:val="00486000"/>
    <w:rsid w:val="004A3873"/>
    <w:rsid w:val="004B2462"/>
    <w:rsid w:val="004C7B56"/>
    <w:rsid w:val="004D0B4D"/>
    <w:rsid w:val="00506B0A"/>
    <w:rsid w:val="00517497"/>
    <w:rsid w:val="005266AD"/>
    <w:rsid w:val="005352F2"/>
    <w:rsid w:val="00542585"/>
    <w:rsid w:val="00543E81"/>
    <w:rsid w:val="00543F36"/>
    <w:rsid w:val="00554486"/>
    <w:rsid w:val="00556949"/>
    <w:rsid w:val="00560F12"/>
    <w:rsid w:val="0056529C"/>
    <w:rsid w:val="005A5283"/>
    <w:rsid w:val="005B79BF"/>
    <w:rsid w:val="005D04F5"/>
    <w:rsid w:val="00614ADA"/>
    <w:rsid w:val="00624F29"/>
    <w:rsid w:val="00646691"/>
    <w:rsid w:val="00674B2F"/>
    <w:rsid w:val="00676C58"/>
    <w:rsid w:val="00692DF7"/>
    <w:rsid w:val="00696E7B"/>
    <w:rsid w:val="006A5073"/>
    <w:rsid w:val="006B3705"/>
    <w:rsid w:val="006B6126"/>
    <w:rsid w:val="00710F5F"/>
    <w:rsid w:val="00711E32"/>
    <w:rsid w:val="00716BF5"/>
    <w:rsid w:val="00724806"/>
    <w:rsid w:val="007309F3"/>
    <w:rsid w:val="00760B07"/>
    <w:rsid w:val="007873CD"/>
    <w:rsid w:val="00796D31"/>
    <w:rsid w:val="00797088"/>
    <w:rsid w:val="007A11F8"/>
    <w:rsid w:val="007B28AC"/>
    <w:rsid w:val="007B4F40"/>
    <w:rsid w:val="007B77E1"/>
    <w:rsid w:val="007C7E4B"/>
    <w:rsid w:val="007F1AD1"/>
    <w:rsid w:val="007F7DDA"/>
    <w:rsid w:val="00800D81"/>
    <w:rsid w:val="008245AF"/>
    <w:rsid w:val="00851540"/>
    <w:rsid w:val="00890EC7"/>
    <w:rsid w:val="0089628F"/>
    <w:rsid w:val="008D6C71"/>
    <w:rsid w:val="008E1BD8"/>
    <w:rsid w:val="008F61BE"/>
    <w:rsid w:val="00901700"/>
    <w:rsid w:val="009037B9"/>
    <w:rsid w:val="00910109"/>
    <w:rsid w:val="009114AD"/>
    <w:rsid w:val="009150DC"/>
    <w:rsid w:val="0094177F"/>
    <w:rsid w:val="00942927"/>
    <w:rsid w:val="009439FB"/>
    <w:rsid w:val="00954843"/>
    <w:rsid w:val="00954C96"/>
    <w:rsid w:val="00961722"/>
    <w:rsid w:val="00975CA3"/>
    <w:rsid w:val="009B1418"/>
    <w:rsid w:val="009B5880"/>
    <w:rsid w:val="009B5E61"/>
    <w:rsid w:val="009E43C4"/>
    <w:rsid w:val="009E7B22"/>
    <w:rsid w:val="00A25A6B"/>
    <w:rsid w:val="00A364A6"/>
    <w:rsid w:val="00A72F6D"/>
    <w:rsid w:val="00A84654"/>
    <w:rsid w:val="00AA0B3C"/>
    <w:rsid w:val="00AA107C"/>
    <w:rsid w:val="00AA4A96"/>
    <w:rsid w:val="00AD6619"/>
    <w:rsid w:val="00B4687A"/>
    <w:rsid w:val="00B64A68"/>
    <w:rsid w:val="00B80523"/>
    <w:rsid w:val="00B92E3E"/>
    <w:rsid w:val="00B94DFA"/>
    <w:rsid w:val="00B9541F"/>
    <w:rsid w:val="00BA5808"/>
    <w:rsid w:val="00BB09BD"/>
    <w:rsid w:val="00BC02F2"/>
    <w:rsid w:val="00BD7467"/>
    <w:rsid w:val="00BE68A0"/>
    <w:rsid w:val="00BE7E3B"/>
    <w:rsid w:val="00BF146F"/>
    <w:rsid w:val="00BF2850"/>
    <w:rsid w:val="00C2350A"/>
    <w:rsid w:val="00C40332"/>
    <w:rsid w:val="00C4747F"/>
    <w:rsid w:val="00C53928"/>
    <w:rsid w:val="00C5752C"/>
    <w:rsid w:val="00C57646"/>
    <w:rsid w:val="00C66091"/>
    <w:rsid w:val="00C66A21"/>
    <w:rsid w:val="00C71E23"/>
    <w:rsid w:val="00C77740"/>
    <w:rsid w:val="00C967BB"/>
    <w:rsid w:val="00CE638A"/>
    <w:rsid w:val="00CF1D0B"/>
    <w:rsid w:val="00D01476"/>
    <w:rsid w:val="00D10AA2"/>
    <w:rsid w:val="00D32910"/>
    <w:rsid w:val="00D51C48"/>
    <w:rsid w:val="00D542B0"/>
    <w:rsid w:val="00D5478C"/>
    <w:rsid w:val="00D6284E"/>
    <w:rsid w:val="00D66D10"/>
    <w:rsid w:val="00D7758F"/>
    <w:rsid w:val="00DA1DDD"/>
    <w:rsid w:val="00DF0F80"/>
    <w:rsid w:val="00E105A3"/>
    <w:rsid w:val="00E43F0A"/>
    <w:rsid w:val="00E44693"/>
    <w:rsid w:val="00E462F7"/>
    <w:rsid w:val="00E54C9F"/>
    <w:rsid w:val="00E55D9C"/>
    <w:rsid w:val="00E91DE1"/>
    <w:rsid w:val="00EB32F1"/>
    <w:rsid w:val="00ED1F0D"/>
    <w:rsid w:val="00EE28C7"/>
    <w:rsid w:val="00EE78F0"/>
    <w:rsid w:val="00F16011"/>
    <w:rsid w:val="00F63431"/>
    <w:rsid w:val="00FB2E62"/>
    <w:rsid w:val="00FB76A3"/>
    <w:rsid w:val="00FC11E7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72C39-4EBA-4451-868A-E36A608F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462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qFormat/>
    <w:rsid w:val="004C7B56"/>
    <w:pPr>
      <w:keepNext/>
      <w:numPr>
        <w:ilvl w:val="1"/>
        <w:numId w:val="1"/>
      </w:numPr>
      <w:suppressAutoHyphens/>
      <w:spacing w:before="240" w:after="60" w:line="300" w:lineRule="atLeast"/>
      <w:jc w:val="both"/>
      <w:outlineLvl w:val="1"/>
    </w:pPr>
    <w:rPr>
      <w:rFonts w:ascii="Arial" w:eastAsia="Times New Roman" w:hAnsi="Arial" w:cs="Arial"/>
      <w:b/>
      <w:bCs/>
      <w:iCs/>
      <w:color w:val="000000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4B2462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2462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B2462"/>
    <w:pPr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B2462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graf">
    <w:name w:val="Paragraf"/>
    <w:basedOn w:val="Normln"/>
    <w:next w:val="Normln"/>
    <w:rsid w:val="002D22FB"/>
    <w:pPr>
      <w:keepNext/>
      <w:keepLines/>
      <w:suppressAutoHyphens/>
      <w:spacing w:before="240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paragrafu">
    <w:name w:val="Text paragrafu"/>
    <w:basedOn w:val="Normln"/>
    <w:rsid w:val="002D22FB"/>
    <w:pPr>
      <w:suppressAutoHyphens/>
      <w:spacing w:before="240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4C7B56"/>
    <w:rPr>
      <w:rFonts w:ascii="Arial" w:eastAsia="Times New Roman" w:hAnsi="Arial" w:cs="Arial"/>
      <w:b/>
      <w:bCs/>
      <w:iCs/>
      <w:color w:val="000000"/>
      <w:szCs w:val="28"/>
      <w:lang w:eastAsia="zh-CN"/>
    </w:rPr>
  </w:style>
  <w:style w:type="paragraph" w:customStyle="1" w:styleId="Zkladntext21">
    <w:name w:val="Základní text 21"/>
    <w:basedOn w:val="Normln"/>
    <w:rsid w:val="004C7B56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odsazen31">
    <w:name w:val="Základní text odsazený 31"/>
    <w:basedOn w:val="Normln"/>
    <w:rsid w:val="004C7B56"/>
    <w:pPr>
      <w:suppressAutoHyphens/>
      <w:ind w:left="709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Vchoz">
    <w:name w:val="Výchozí"/>
    <w:rsid w:val="004C7B56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uppressAutoHyphens/>
    </w:pPr>
    <w:rPr>
      <w:rFonts w:ascii="Times New Roman" w:eastAsia="Times New Roman" w:hAnsi="Times New Roman" w:cs="Times New Roman"/>
      <w:sz w:val="24"/>
      <w:szCs w:val="24"/>
      <w:lang w:eastAsia="cs-CZ" w:bidi="hi-IN"/>
    </w:rPr>
  </w:style>
  <w:style w:type="paragraph" w:customStyle="1" w:styleId="Textodstavce">
    <w:name w:val="Text odstavce"/>
    <w:basedOn w:val="Normln"/>
    <w:rsid w:val="004C7B56"/>
    <w:pPr>
      <w:tabs>
        <w:tab w:val="left" w:pos="851"/>
        <w:tab w:val="num" w:pos="928"/>
      </w:tabs>
      <w:spacing w:before="120" w:after="120"/>
      <w:ind w:left="143"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6C7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C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C4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74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B2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B2F"/>
    <w:rPr>
      <w:rFonts w:ascii="Calibri" w:hAnsi="Calibri" w:cs="Calibr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E28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8C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E28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8C7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B64A68"/>
    <w:pPr>
      <w:spacing w:after="200" w:line="276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09B9-F44C-46A7-8CFE-9088D478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3060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novj</dc:creator>
  <cp:lastModifiedBy>Baldová Marie</cp:lastModifiedBy>
  <cp:revision>2</cp:revision>
  <cp:lastPrinted>2016-04-18T06:22:00Z</cp:lastPrinted>
  <dcterms:created xsi:type="dcterms:W3CDTF">2021-09-22T11:23:00Z</dcterms:created>
  <dcterms:modified xsi:type="dcterms:W3CDTF">2021-09-22T11:23:00Z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kratka_SpisovyUzel_PoziceZodpo_Pisemnost">
    <vt:lpwstr>80</vt:lpwstr>
  </property>
  <property fmtid="{D5CDD505-2E9C-101B-9397-08002B2CF9AE}" pid="3" name="PocetListu_Pisemnost">
    <vt:lpwstr>0+6el.s.</vt:lpwstr>
  </property>
  <property fmtid="{D5CDD505-2E9C-101B-9397-08002B2CF9AE}" pid="4" name="Key_BarCode_Pisemnost">
    <vt:lpwstr>*B001841584*</vt:lpwstr>
  </property>
  <property fmtid="{D5CDD505-2E9C-101B-9397-08002B2CF9AE}" pid="5" name="UserName_PisemnostTypZpristupneniInformaciZOSZ_Pisemnost">
    <vt:lpwstr>ZOSZ_UserName</vt:lpwstr>
  </property>
  <property fmtid="{D5CDD505-2E9C-101B-9397-08002B2CF9AE}" pid="6" name="TEST">
    <vt:lpwstr>testovací pole</vt:lpwstr>
  </property>
  <property fmtid="{D5CDD505-2E9C-101B-9397-08002B2CF9AE}" pid="7" name="Contact_PostaOdes_All">
    <vt:lpwstr>Úřad vlády České republiky_x000d_
Úřad vlády České republiky, nábřeží Edvarda Beneše 4, 118 01 PRAHA</vt:lpwstr>
  </property>
  <property fmtid="{D5CDD505-2E9C-101B-9397-08002B2CF9AE}" pid="8" name="SZ_Spis_Pisemnost">
    <vt:lpwstr>80 - 75755/2016</vt:lpwstr>
  </property>
  <property fmtid="{D5CDD505-2E9C-101B-9397-08002B2CF9AE}" pid="9" name="DisplayName_SpisovyUzel_PoziceZodpo_Pisemnost">
    <vt:lpwstr>OPL - Odbor právní a legislativní</vt:lpwstr>
  </property>
  <property fmtid="{D5CDD505-2E9C-101B-9397-08002B2CF9AE}" pid="10" name="Odkaz">
    <vt:lpwstr>ODKAZ</vt:lpwstr>
  </property>
  <property fmtid="{D5CDD505-2E9C-101B-9397-08002B2CF9AE}" pid="11" name="CJ_Spis_Pisemnost">
    <vt:lpwstr>CJ/SPIS/ROK</vt:lpwstr>
  </property>
  <property fmtid="{D5CDD505-2E9C-101B-9397-08002B2CF9AE}" pid="12" name="Password_PisemnostTypZpristupneniInformaciZOSZ_Pisemnost">
    <vt:lpwstr>ZOSZ_Password</vt:lpwstr>
  </property>
  <property fmtid="{D5CDD505-2E9C-101B-9397-08002B2CF9AE}" pid="13" name="DatumPlatnosti_PisemnostTypZpristupneniInformaciZOSZ_Pisemnost">
    <vt:lpwstr>ZOSZ_DatumPlatnosti</vt:lpwstr>
  </property>
  <property fmtid="{D5CDD505-2E9C-101B-9397-08002B2CF9AE}" pid="14" name="CJ">
    <vt:lpwstr>7014/2016-NBÚ/80</vt:lpwstr>
  </property>
  <property fmtid="{D5CDD505-2E9C-101B-9397-08002B2CF9AE}" pid="15" name="EC_Pisemnost">
    <vt:lpwstr>90894/16</vt:lpwstr>
  </property>
  <property fmtid="{D5CDD505-2E9C-101B-9397-08002B2CF9AE}" pid="16" name="SkartacniZnakLhuta_PisemnostZnak">
    <vt:lpwstr>A/10</vt:lpwstr>
  </property>
  <property fmtid="{D5CDD505-2E9C-101B-9397-08002B2CF9AE}" pid="17" name="Vec_Pisemnost">
    <vt:lpwstr>Dopis pana ředitele Úřadu - MPŘ</vt:lpwstr>
  </property>
  <property fmtid="{D5CDD505-2E9C-101B-9397-08002B2CF9AE}" pid="18" name="DatumPoriz_Pisemnost">
    <vt:lpwstr>26.8.2016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0</vt:lpwstr>
  </property>
  <property fmtid="{D5CDD505-2E9C-101B-9397-08002B2CF9AE}" pid="21" name="PocetPriloh_Pisemnost">
    <vt:lpwstr>6</vt:lpwstr>
  </property>
  <property fmtid="{D5CDD505-2E9C-101B-9397-08002B2CF9AE}" pid="22" name="TypPrilohy_Pisemnost">
    <vt:lpwstr>6el.s.</vt:lpwstr>
  </property>
  <property fmtid="{D5CDD505-2E9C-101B-9397-08002B2CF9AE}" pid="23" name="DisplayName_UserPoriz_Pisemnost">
    <vt:lpwstr>Martina Holečková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</Properties>
</file>