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E76" w:rsidRPr="00DF1E76" w:rsidRDefault="00DF1E76" w:rsidP="00DF1E76">
      <w:pPr>
        <w:autoSpaceDE w:val="0"/>
        <w:autoSpaceDN w:val="0"/>
        <w:adjustRightInd w:val="0"/>
        <w:spacing w:after="600" w:line="240" w:lineRule="auto"/>
        <w:jc w:val="right"/>
        <w:rPr>
          <w:rFonts w:ascii="Arial" w:eastAsia="Times New Roman" w:hAnsi="Arial" w:cs="Arial"/>
          <w:b/>
          <w:sz w:val="24"/>
          <w:szCs w:val="24"/>
          <w:lang w:eastAsia="cs-CZ"/>
        </w:rPr>
      </w:pPr>
      <w:r w:rsidRPr="00DF1E76">
        <w:rPr>
          <w:rFonts w:ascii="Arial" w:eastAsia="Times New Roman" w:hAnsi="Arial" w:cs="Arial"/>
          <w:b/>
          <w:sz w:val="24"/>
          <w:szCs w:val="24"/>
          <w:lang w:eastAsia="cs-CZ"/>
        </w:rPr>
        <w:t>III.</w:t>
      </w:r>
    </w:p>
    <w:p w:rsidR="00DF1E76" w:rsidRPr="00DF1E76" w:rsidRDefault="00DF1E76" w:rsidP="00DF1E76">
      <w:pPr>
        <w:autoSpaceDE w:val="0"/>
        <w:autoSpaceDN w:val="0"/>
        <w:adjustRightInd w:val="0"/>
        <w:spacing w:after="600" w:line="240" w:lineRule="auto"/>
        <w:jc w:val="center"/>
        <w:rPr>
          <w:rFonts w:ascii="Arial" w:eastAsia="Times New Roman" w:hAnsi="Arial" w:cs="Arial"/>
          <w:b/>
          <w:bCs/>
          <w:color w:val="000000"/>
          <w:sz w:val="24"/>
          <w:szCs w:val="24"/>
          <w:lang w:eastAsia="cs-CZ"/>
        </w:rPr>
      </w:pPr>
      <w:r w:rsidRPr="00DF1E76">
        <w:rPr>
          <w:rFonts w:ascii="Arial" w:eastAsia="Times New Roman" w:hAnsi="Arial" w:cs="Arial"/>
          <w:b/>
          <w:sz w:val="24"/>
          <w:szCs w:val="24"/>
          <w:lang w:eastAsia="cs-CZ"/>
        </w:rPr>
        <w:t>ODŮVODNĚNÍ</w:t>
      </w:r>
    </w:p>
    <w:p w:rsidR="00DF1E76" w:rsidRPr="00DF1E76" w:rsidRDefault="00DF1E76" w:rsidP="00DF1E76">
      <w:pPr>
        <w:autoSpaceDE w:val="0"/>
        <w:autoSpaceDN w:val="0"/>
        <w:adjustRightInd w:val="0"/>
        <w:spacing w:after="0" w:line="240" w:lineRule="auto"/>
        <w:jc w:val="center"/>
        <w:rPr>
          <w:rFonts w:ascii="Arial" w:eastAsia="Times New Roman" w:hAnsi="Arial" w:cs="Arial"/>
          <w:b/>
          <w:bCs/>
          <w:color w:val="000000"/>
          <w:sz w:val="24"/>
          <w:szCs w:val="24"/>
          <w:lang w:eastAsia="cs-CZ"/>
        </w:rPr>
      </w:pPr>
      <w:r w:rsidRPr="00DF1E76">
        <w:rPr>
          <w:rFonts w:ascii="Arial" w:eastAsia="Times New Roman" w:hAnsi="Arial" w:cs="Arial"/>
          <w:b/>
          <w:bCs/>
          <w:color w:val="000000"/>
          <w:sz w:val="24"/>
          <w:szCs w:val="24"/>
          <w:lang w:eastAsia="cs-CZ"/>
        </w:rPr>
        <w:t>Obecná část</w:t>
      </w:r>
    </w:p>
    <w:p w:rsidR="00DF1E76" w:rsidRPr="00DF1E76" w:rsidRDefault="00DF1E76" w:rsidP="00DF1E76">
      <w:pPr>
        <w:autoSpaceDE w:val="0"/>
        <w:autoSpaceDN w:val="0"/>
        <w:adjustRightInd w:val="0"/>
        <w:spacing w:after="0" w:line="240" w:lineRule="auto"/>
        <w:jc w:val="center"/>
        <w:rPr>
          <w:rFonts w:ascii="Arial" w:eastAsia="Times New Roman" w:hAnsi="Arial" w:cs="Arial"/>
          <w:b/>
          <w:bCs/>
          <w:color w:val="000000"/>
          <w:sz w:val="24"/>
          <w:szCs w:val="24"/>
          <w:lang w:eastAsia="cs-CZ"/>
        </w:rPr>
      </w:pPr>
    </w:p>
    <w:p w:rsidR="00DF1E76" w:rsidRPr="00DF1E76" w:rsidRDefault="00DF1E76" w:rsidP="00DF1E76">
      <w:pPr>
        <w:autoSpaceDE w:val="0"/>
        <w:autoSpaceDN w:val="0"/>
        <w:adjustRightInd w:val="0"/>
        <w:spacing w:after="0" w:line="240" w:lineRule="auto"/>
        <w:jc w:val="both"/>
        <w:rPr>
          <w:rFonts w:ascii="Arial" w:eastAsia="Times New Roman" w:hAnsi="Arial" w:cs="Arial"/>
          <w:b/>
          <w:bCs/>
          <w:color w:val="000000"/>
          <w:sz w:val="24"/>
          <w:szCs w:val="24"/>
          <w:lang w:eastAsia="cs-CZ"/>
        </w:rPr>
      </w:pPr>
    </w:p>
    <w:p w:rsidR="00DF1E76" w:rsidRPr="00DF1E76" w:rsidRDefault="00DF1E76" w:rsidP="00DF1E76">
      <w:pPr>
        <w:spacing w:after="0" w:line="240" w:lineRule="auto"/>
        <w:jc w:val="both"/>
        <w:outlineLvl w:val="0"/>
        <w:rPr>
          <w:rFonts w:ascii="Arial" w:eastAsia="Times New Roman" w:hAnsi="Arial" w:cs="Arial"/>
          <w:b/>
          <w:color w:val="000000"/>
          <w:sz w:val="24"/>
          <w:szCs w:val="24"/>
          <w:u w:val="single"/>
          <w:lang w:eastAsia="cs-CZ"/>
        </w:rPr>
      </w:pPr>
      <w:r w:rsidRPr="00DF1E76">
        <w:rPr>
          <w:rFonts w:ascii="Arial" w:eastAsia="Times New Roman" w:hAnsi="Arial" w:cs="Arial"/>
          <w:b/>
          <w:color w:val="000000"/>
          <w:sz w:val="24"/>
          <w:szCs w:val="24"/>
          <w:u w:val="single"/>
          <w:lang w:eastAsia="cs-CZ"/>
        </w:rPr>
        <w:t>Název</w:t>
      </w:r>
    </w:p>
    <w:p w:rsidR="00DF1E76" w:rsidRPr="00DF1E76" w:rsidRDefault="00DF1E76" w:rsidP="00DF1E76">
      <w:pPr>
        <w:spacing w:before="120" w:after="120" w:line="240" w:lineRule="auto"/>
        <w:ind w:firstLine="357"/>
        <w:jc w:val="both"/>
        <w:outlineLvl w:val="0"/>
        <w:rPr>
          <w:rFonts w:ascii="Arial" w:eastAsia="Times New Roman" w:hAnsi="Arial" w:cs="Arial"/>
          <w:color w:val="000000"/>
          <w:sz w:val="24"/>
          <w:szCs w:val="24"/>
          <w:lang w:eastAsia="cs-CZ"/>
        </w:rPr>
      </w:pPr>
      <w:r w:rsidRPr="00DF1E76">
        <w:rPr>
          <w:rFonts w:ascii="Arial" w:eastAsia="Times New Roman" w:hAnsi="Arial" w:cs="Arial"/>
          <w:color w:val="000000"/>
          <w:sz w:val="24"/>
          <w:szCs w:val="24"/>
          <w:lang w:eastAsia="cs-CZ"/>
        </w:rPr>
        <w:t xml:space="preserve">Návrh vyhlášky, kterou se mění vyhláška č. 528/2005 Sb., o fyzické bezpečnosti a certifikaci technických prostředků, ve znění pozdějších předpisů (dále jen „návrh vyhlášky“). </w:t>
      </w:r>
    </w:p>
    <w:p w:rsidR="00DF1E76" w:rsidRPr="00DF1E76" w:rsidRDefault="00DF1E76" w:rsidP="00DF1E76">
      <w:pPr>
        <w:spacing w:before="120" w:after="120" w:line="240" w:lineRule="auto"/>
        <w:ind w:firstLine="357"/>
        <w:jc w:val="both"/>
        <w:outlineLvl w:val="0"/>
        <w:rPr>
          <w:rFonts w:ascii="Arial" w:eastAsia="Times New Roman" w:hAnsi="Arial" w:cs="Arial"/>
          <w:color w:val="000000"/>
          <w:sz w:val="24"/>
          <w:szCs w:val="24"/>
          <w:lang w:eastAsia="cs-CZ"/>
        </w:rPr>
      </w:pPr>
    </w:p>
    <w:p w:rsidR="00DF1E76" w:rsidRPr="00DF1E76" w:rsidRDefault="00DF1E76" w:rsidP="00DF1E76">
      <w:pPr>
        <w:spacing w:after="0" w:line="240" w:lineRule="auto"/>
        <w:jc w:val="both"/>
        <w:outlineLvl w:val="0"/>
        <w:rPr>
          <w:rFonts w:ascii="Arial" w:eastAsia="Times New Roman" w:hAnsi="Arial" w:cs="Arial"/>
          <w:b/>
          <w:color w:val="000000"/>
          <w:sz w:val="24"/>
          <w:szCs w:val="24"/>
          <w:u w:val="single"/>
          <w:lang w:eastAsia="cs-CZ"/>
        </w:rPr>
      </w:pPr>
      <w:r w:rsidRPr="00DF1E76">
        <w:rPr>
          <w:rFonts w:ascii="Arial" w:eastAsia="Times New Roman" w:hAnsi="Arial" w:cs="Arial"/>
          <w:b/>
          <w:color w:val="000000"/>
          <w:sz w:val="24"/>
          <w:szCs w:val="24"/>
          <w:u w:val="single"/>
          <w:lang w:eastAsia="cs-CZ"/>
        </w:rPr>
        <w:t>Vysvětlení nezbytnosti navrhované právní úpravy, odůvodnění jejích hlavních principů</w:t>
      </w:r>
    </w:p>
    <w:p w:rsidR="00DF1E76" w:rsidRPr="00DF1E76" w:rsidRDefault="00DF1E76" w:rsidP="00DF1E76">
      <w:pPr>
        <w:spacing w:before="120" w:after="120" w:line="240" w:lineRule="auto"/>
        <w:ind w:firstLine="357"/>
        <w:jc w:val="both"/>
        <w:outlineLvl w:val="0"/>
        <w:rPr>
          <w:rFonts w:ascii="Arial" w:eastAsia="Times New Roman" w:hAnsi="Arial" w:cs="Arial"/>
          <w:color w:val="000000"/>
          <w:sz w:val="24"/>
          <w:szCs w:val="24"/>
          <w:lang w:eastAsia="cs-CZ"/>
        </w:rPr>
      </w:pPr>
      <w:r w:rsidRPr="00DF1E76">
        <w:rPr>
          <w:rFonts w:ascii="Arial" w:eastAsia="Times New Roman" w:hAnsi="Arial" w:cs="Arial"/>
          <w:color w:val="000000"/>
          <w:sz w:val="24"/>
          <w:szCs w:val="24"/>
          <w:lang w:eastAsia="cs-CZ"/>
        </w:rPr>
        <w:t xml:space="preserve">Důvodem předložení návrhu vyhlášky jsou legislativně technické změny přílohy č. 1 zohledňující časté změny obsahu, přečíslovávání, rušení a novelizace technických norem v této technologické oblasti, z tohoto důvodu se jednotně navrhuje používat pouze jednu ČSN a to ČSN EN 62676-1-1 Dohledové </w:t>
      </w:r>
      <w:proofErr w:type="spellStart"/>
      <w:r w:rsidRPr="00DF1E76">
        <w:rPr>
          <w:rFonts w:ascii="Arial" w:eastAsia="Times New Roman" w:hAnsi="Arial" w:cs="Arial"/>
          <w:color w:val="000000"/>
          <w:sz w:val="24"/>
          <w:szCs w:val="24"/>
          <w:lang w:eastAsia="cs-CZ"/>
        </w:rPr>
        <w:t>videosystémy</w:t>
      </w:r>
      <w:proofErr w:type="spellEnd"/>
      <w:r w:rsidRPr="00DF1E76">
        <w:rPr>
          <w:rFonts w:ascii="Arial" w:eastAsia="Times New Roman" w:hAnsi="Arial" w:cs="Arial"/>
          <w:color w:val="000000"/>
          <w:sz w:val="24"/>
          <w:szCs w:val="24"/>
          <w:lang w:eastAsia="cs-CZ"/>
        </w:rPr>
        <w:t xml:space="preserve"> pro použití v bezpečnostních aplikacích–Část1-1:Systémové požadavky–Obecně. Tato ČSN obsahuje obecné požadavky a doporučení pro tyto systémy. Stejně tak dochází k změně vztahující se k elektrické požární signalizaci ve vazbě na platnou vyhlášku č. 246/2001 Sb., o stanovení podmínek požární bezpečnosti a výkonu státního požárního dozoru, ve znění vyhlášky č. 221/2014 Sb. a vyhlášky č.19/2021 Sb.</w:t>
      </w:r>
    </w:p>
    <w:p w:rsidR="00DF1E76" w:rsidRPr="00DF1E76" w:rsidRDefault="00DF1E76" w:rsidP="00DF1E76">
      <w:pPr>
        <w:spacing w:before="120" w:after="120" w:line="240" w:lineRule="auto"/>
        <w:ind w:firstLine="357"/>
        <w:jc w:val="both"/>
        <w:outlineLvl w:val="0"/>
        <w:rPr>
          <w:rFonts w:ascii="Arial" w:eastAsia="Times New Roman" w:hAnsi="Arial" w:cs="Arial"/>
          <w:color w:val="000000"/>
          <w:sz w:val="24"/>
          <w:szCs w:val="24"/>
          <w:lang w:eastAsia="cs-CZ"/>
        </w:rPr>
      </w:pPr>
    </w:p>
    <w:p w:rsidR="00DF1E76" w:rsidRPr="00DF1E76" w:rsidRDefault="00DF1E76" w:rsidP="00DF1E76">
      <w:pPr>
        <w:spacing w:before="120" w:after="0" w:line="240" w:lineRule="auto"/>
        <w:jc w:val="both"/>
        <w:outlineLvl w:val="0"/>
        <w:rPr>
          <w:rFonts w:ascii="Arial" w:eastAsia="Times New Roman" w:hAnsi="Arial" w:cs="Arial"/>
          <w:b/>
          <w:color w:val="000000"/>
          <w:sz w:val="24"/>
          <w:szCs w:val="24"/>
          <w:u w:val="single"/>
          <w:lang w:eastAsia="cs-CZ"/>
        </w:rPr>
      </w:pPr>
      <w:r w:rsidRPr="00DF1E76">
        <w:rPr>
          <w:rFonts w:ascii="Arial" w:eastAsia="Times New Roman" w:hAnsi="Arial" w:cs="Arial"/>
          <w:b/>
          <w:color w:val="000000"/>
          <w:sz w:val="24"/>
          <w:szCs w:val="24"/>
          <w:u w:val="single"/>
          <w:lang w:eastAsia="cs-CZ"/>
        </w:rPr>
        <w:t>Zhodnocení souladu navrhované právní úpravy se zákonem, k jehož provedení je navržena, a zároveň zhodnocení souladu navrhované právní úpravy s předpisy Evropské unie, judikaturou soudních orgánů Evropské unie a obecnými právními zásadami práva Evropské unie</w:t>
      </w:r>
    </w:p>
    <w:p w:rsidR="00DF1E76" w:rsidRPr="00DF1E76" w:rsidRDefault="00DF1E76" w:rsidP="00DF1E76">
      <w:pPr>
        <w:spacing w:before="120" w:after="120" w:line="240" w:lineRule="auto"/>
        <w:ind w:firstLine="357"/>
        <w:jc w:val="both"/>
        <w:outlineLvl w:val="0"/>
        <w:rPr>
          <w:rFonts w:ascii="Arial" w:eastAsia="Times New Roman" w:hAnsi="Arial" w:cs="Arial"/>
          <w:color w:val="000000"/>
          <w:sz w:val="24"/>
          <w:szCs w:val="24"/>
          <w:lang w:eastAsia="cs-CZ"/>
        </w:rPr>
      </w:pPr>
      <w:r w:rsidRPr="00DF1E76">
        <w:rPr>
          <w:rFonts w:ascii="Arial" w:eastAsia="Times New Roman" w:hAnsi="Arial" w:cs="Arial"/>
          <w:color w:val="000000"/>
          <w:sz w:val="24"/>
          <w:szCs w:val="24"/>
          <w:lang w:eastAsia="cs-CZ"/>
        </w:rPr>
        <w:t>Návrh vyhlášky je zpracován na základě zmocňovacího ustanovení uvedeného v § 33 a § 53 písm. a) a f) zákona č. 412/2005 Sb., o ochraně utajovaných informací a o bezpečnostní způsobilosti, ve znění zákona č. 255/2011 Sb., zákona č. 420/2011 Sb. a zákona č. 205/2017 Sb.</w:t>
      </w:r>
    </w:p>
    <w:p w:rsidR="00DF1E76" w:rsidRPr="00DF1E76" w:rsidRDefault="00DF1E76" w:rsidP="00DF1E76">
      <w:pPr>
        <w:spacing w:before="120" w:after="120" w:line="240" w:lineRule="auto"/>
        <w:ind w:firstLine="357"/>
        <w:jc w:val="both"/>
        <w:outlineLvl w:val="0"/>
        <w:rPr>
          <w:rFonts w:ascii="Arial" w:eastAsia="Times New Roman" w:hAnsi="Arial" w:cs="Arial"/>
          <w:color w:val="000000"/>
          <w:sz w:val="24"/>
          <w:szCs w:val="24"/>
          <w:lang w:eastAsia="cs-CZ"/>
        </w:rPr>
      </w:pPr>
      <w:r w:rsidRPr="00DF1E76">
        <w:rPr>
          <w:rFonts w:ascii="Arial" w:eastAsia="Times New Roman" w:hAnsi="Arial" w:cs="Arial"/>
          <w:color w:val="000000"/>
          <w:sz w:val="24"/>
          <w:szCs w:val="24"/>
          <w:lang w:eastAsia="cs-CZ"/>
        </w:rPr>
        <w:t>Předložený návrh vyhlášky je v souladu s ústavním pořádkem České republiky, s Listinou základních práv a svobod a s Ústavou České republiky. Návrh vyhlášky respektuje obecné zásady ústavního pořádku České republiky a je též v souladu s právními předpisy upravujícími oblast působnosti ústředních orgánů státní správy České republiky.</w:t>
      </w:r>
    </w:p>
    <w:p w:rsidR="00DF1E76" w:rsidRPr="00DF1E76" w:rsidRDefault="00DF1E76" w:rsidP="00DF1E76">
      <w:pPr>
        <w:spacing w:before="120" w:after="120" w:line="240" w:lineRule="auto"/>
        <w:ind w:firstLine="357"/>
        <w:jc w:val="both"/>
        <w:outlineLvl w:val="0"/>
        <w:rPr>
          <w:rFonts w:ascii="Arial" w:eastAsia="Times New Roman" w:hAnsi="Arial" w:cs="Arial"/>
          <w:color w:val="000000"/>
          <w:sz w:val="24"/>
          <w:szCs w:val="24"/>
          <w:lang w:eastAsia="cs-CZ"/>
        </w:rPr>
      </w:pPr>
      <w:r w:rsidRPr="00DF1E76">
        <w:rPr>
          <w:rFonts w:ascii="Arial" w:eastAsia="Times New Roman" w:hAnsi="Arial" w:cs="Arial"/>
          <w:color w:val="000000"/>
          <w:sz w:val="24"/>
          <w:szCs w:val="24"/>
          <w:lang w:eastAsia="cs-CZ"/>
        </w:rPr>
        <w:t xml:space="preserve">Předložený návrh vyhlášky není v rozporu s mezinárodními smlouvami, jimiž je Česká republika vázána, ani s předpisy Evropské unie, ani s judikaturou soudních orgánů Evropské unie a ani s obecnými právními zásadami práva Evropské unie, přičemž se uvedené předpisy, judikatura a obecné právní zásady Evropské unie nevztahují k návrhu právní úpravy (Rozhodnutí Rady 2013/488/EU ze dne 23. září 2013 o bezpečnostních pravidlech na ochranu utajovaných informací EU). </w:t>
      </w:r>
    </w:p>
    <w:p w:rsidR="00DF1E76" w:rsidRPr="00DF1E76" w:rsidRDefault="00DF1E76" w:rsidP="00DF1E76">
      <w:pPr>
        <w:spacing w:before="120" w:after="120" w:line="240" w:lineRule="auto"/>
        <w:ind w:firstLine="357"/>
        <w:jc w:val="both"/>
        <w:outlineLvl w:val="0"/>
        <w:rPr>
          <w:rFonts w:ascii="Arial" w:eastAsia="Times New Roman" w:hAnsi="Arial" w:cs="Arial"/>
          <w:color w:val="000000"/>
          <w:sz w:val="24"/>
          <w:szCs w:val="24"/>
          <w:lang w:eastAsia="cs-CZ"/>
        </w:rPr>
      </w:pPr>
    </w:p>
    <w:p w:rsidR="00DF1E76" w:rsidRPr="00DF1E76" w:rsidRDefault="00DF1E76" w:rsidP="00DF1E76">
      <w:pPr>
        <w:spacing w:after="0" w:line="240" w:lineRule="auto"/>
        <w:jc w:val="both"/>
        <w:outlineLvl w:val="0"/>
        <w:rPr>
          <w:rFonts w:ascii="Arial" w:eastAsia="Times New Roman" w:hAnsi="Arial" w:cs="Arial"/>
          <w:b/>
          <w:color w:val="000000"/>
          <w:sz w:val="24"/>
          <w:szCs w:val="24"/>
          <w:u w:val="single"/>
          <w:lang w:eastAsia="cs-CZ"/>
        </w:rPr>
      </w:pPr>
      <w:r w:rsidRPr="00DF1E76">
        <w:rPr>
          <w:rFonts w:ascii="Arial" w:eastAsia="Times New Roman" w:hAnsi="Arial" w:cs="Arial"/>
          <w:b/>
          <w:color w:val="000000"/>
          <w:sz w:val="24"/>
          <w:szCs w:val="24"/>
          <w:u w:val="single"/>
          <w:lang w:eastAsia="cs-CZ"/>
        </w:rPr>
        <w:lastRenderedPageBreak/>
        <w:t>Předpokládaný hospodářský a finanční dopad navrhované právní úpravy na státní rozpočet, ostatní veřejné rozpočty a na podnikatelské prostředí v České republice, dále sociální dopady včetně dopadů na specifické skupiny obyvatel, zejména osoby sociálně slabé, osoby se zdravotním postižením a národnostní menšiny, a dopady na životní prostředí</w:t>
      </w:r>
    </w:p>
    <w:p w:rsidR="00DF1E76" w:rsidRPr="00DF1E76" w:rsidRDefault="00DF1E76" w:rsidP="00DF1E76">
      <w:pPr>
        <w:spacing w:before="120" w:after="120" w:line="240" w:lineRule="auto"/>
        <w:ind w:firstLine="357"/>
        <w:jc w:val="both"/>
        <w:outlineLvl w:val="0"/>
        <w:rPr>
          <w:rFonts w:ascii="Arial" w:eastAsia="Times New Roman" w:hAnsi="Arial" w:cs="Arial"/>
          <w:color w:val="000000"/>
          <w:sz w:val="24"/>
          <w:szCs w:val="24"/>
          <w:lang w:eastAsia="cs-CZ"/>
        </w:rPr>
      </w:pPr>
      <w:r w:rsidRPr="00DF1E76">
        <w:rPr>
          <w:rFonts w:ascii="Arial" w:eastAsia="Times New Roman" w:hAnsi="Arial" w:cs="Arial"/>
          <w:color w:val="000000"/>
          <w:sz w:val="24"/>
          <w:szCs w:val="24"/>
          <w:lang w:eastAsia="cs-CZ"/>
        </w:rPr>
        <w:t>Návrh vyhlášky nepředpokládá dopady na státní rozpočet České republiky a na ostatní veřejné rozpočty.</w:t>
      </w:r>
    </w:p>
    <w:p w:rsidR="00DF1E76" w:rsidRPr="00DF1E76" w:rsidRDefault="00DF1E76" w:rsidP="00DF1E76">
      <w:pPr>
        <w:spacing w:before="120" w:after="120" w:line="240" w:lineRule="auto"/>
        <w:ind w:firstLine="357"/>
        <w:jc w:val="both"/>
        <w:outlineLvl w:val="0"/>
        <w:rPr>
          <w:rFonts w:ascii="Arial" w:eastAsia="Times New Roman" w:hAnsi="Arial" w:cs="Arial"/>
          <w:color w:val="000000"/>
          <w:sz w:val="24"/>
          <w:szCs w:val="24"/>
          <w:lang w:eastAsia="cs-CZ"/>
        </w:rPr>
      </w:pPr>
      <w:r w:rsidRPr="00DF1E76">
        <w:rPr>
          <w:rFonts w:ascii="Arial" w:eastAsia="Times New Roman" w:hAnsi="Arial" w:cs="Arial"/>
          <w:color w:val="000000"/>
          <w:sz w:val="24"/>
          <w:szCs w:val="24"/>
          <w:lang w:eastAsia="cs-CZ"/>
        </w:rPr>
        <w:t xml:space="preserve">Návrh vyhlášky nepředpokládá žádný hospodářský ani finanční dopad navrhované právní úpravy na podnikatelské prostředí. </w:t>
      </w:r>
    </w:p>
    <w:p w:rsidR="00DF1E76" w:rsidRPr="00DF1E76" w:rsidRDefault="00DF1E76" w:rsidP="00DF1E76">
      <w:pPr>
        <w:spacing w:before="120" w:after="120" w:line="240" w:lineRule="auto"/>
        <w:ind w:firstLine="357"/>
        <w:jc w:val="both"/>
        <w:outlineLvl w:val="0"/>
        <w:rPr>
          <w:rFonts w:ascii="Arial" w:eastAsia="Times New Roman" w:hAnsi="Arial" w:cs="Arial"/>
          <w:color w:val="000000"/>
          <w:sz w:val="24"/>
          <w:szCs w:val="24"/>
          <w:lang w:eastAsia="cs-CZ"/>
        </w:rPr>
      </w:pPr>
      <w:r w:rsidRPr="00DF1E76">
        <w:rPr>
          <w:rFonts w:ascii="Arial" w:eastAsia="Times New Roman" w:hAnsi="Arial" w:cs="Arial"/>
          <w:color w:val="000000"/>
          <w:sz w:val="24"/>
          <w:szCs w:val="24"/>
          <w:lang w:eastAsia="cs-CZ"/>
        </w:rPr>
        <w:t>Návrh vyhlášky nepředpokládá žádné sociální dopady ani dopady na osoby se zdravotním postižením a národnostní menšiny a ani dopady na životní prostředí.</w:t>
      </w:r>
    </w:p>
    <w:p w:rsidR="00DF1E76" w:rsidRPr="00DF1E76" w:rsidRDefault="00DF1E76" w:rsidP="00DF1E76">
      <w:pPr>
        <w:spacing w:before="120" w:after="120" w:line="240" w:lineRule="auto"/>
        <w:ind w:firstLine="357"/>
        <w:jc w:val="both"/>
        <w:outlineLvl w:val="0"/>
        <w:rPr>
          <w:rFonts w:ascii="Arial" w:eastAsia="Times New Roman" w:hAnsi="Arial" w:cs="Arial"/>
          <w:color w:val="000000"/>
          <w:sz w:val="24"/>
          <w:szCs w:val="24"/>
          <w:lang w:eastAsia="cs-CZ"/>
        </w:rPr>
      </w:pPr>
    </w:p>
    <w:p w:rsidR="00DF1E76" w:rsidRPr="00DF1E76" w:rsidRDefault="00DF1E76" w:rsidP="00DF1E76">
      <w:pPr>
        <w:keepNext/>
        <w:spacing w:after="0" w:line="240" w:lineRule="auto"/>
        <w:jc w:val="both"/>
        <w:outlineLvl w:val="0"/>
        <w:rPr>
          <w:rFonts w:ascii="Arial" w:eastAsia="Times New Roman" w:hAnsi="Arial" w:cs="Arial"/>
          <w:b/>
          <w:color w:val="000000"/>
          <w:sz w:val="24"/>
          <w:szCs w:val="24"/>
          <w:u w:val="single"/>
          <w:lang w:eastAsia="cs-CZ"/>
        </w:rPr>
      </w:pPr>
      <w:r w:rsidRPr="00DF1E76">
        <w:rPr>
          <w:rFonts w:ascii="Arial" w:eastAsia="Times New Roman" w:hAnsi="Arial" w:cs="Arial"/>
          <w:b/>
          <w:color w:val="000000"/>
          <w:sz w:val="24"/>
          <w:szCs w:val="24"/>
          <w:u w:val="single"/>
          <w:lang w:eastAsia="cs-CZ"/>
        </w:rPr>
        <w:t>Zhodnocení současného stavu a dopadů navrhovaného řešení ve vztahu k zákazu diskriminace a ve vztahu k rovnosti mužů a žen</w:t>
      </w:r>
    </w:p>
    <w:p w:rsidR="00DF1E76" w:rsidRPr="00DF1E76" w:rsidRDefault="00DF1E76" w:rsidP="00DF1E76">
      <w:pPr>
        <w:spacing w:before="120" w:after="120" w:line="240" w:lineRule="auto"/>
        <w:ind w:firstLine="357"/>
        <w:jc w:val="both"/>
        <w:outlineLvl w:val="0"/>
        <w:rPr>
          <w:rFonts w:ascii="Arial" w:eastAsia="Times New Roman" w:hAnsi="Arial" w:cs="Arial"/>
          <w:color w:val="000000"/>
          <w:sz w:val="24"/>
          <w:szCs w:val="24"/>
          <w:lang w:eastAsia="cs-CZ"/>
        </w:rPr>
      </w:pPr>
      <w:r w:rsidRPr="00DF1E76">
        <w:rPr>
          <w:rFonts w:ascii="Arial" w:eastAsia="Times New Roman" w:hAnsi="Arial" w:cs="Arial"/>
          <w:color w:val="000000"/>
          <w:sz w:val="24"/>
          <w:szCs w:val="24"/>
          <w:lang w:eastAsia="cs-CZ"/>
        </w:rPr>
        <w:t>Návrh vyhlášky nepředpokládá žádný dopad ve vztahu k zákazu diskriminace a ve vztahu k rovnosti mužů a žen ve smyslu zákona č. 198/2009 Sb., o rovném zacházení a o právních prostředcích ochrany před diskriminací a o změně některých zákonů (antidiskriminační zákon), ve znění pozdějších předpisů. Návrh vyhlášky je z hlediska rovnosti mužů a žen indiferentní.</w:t>
      </w:r>
    </w:p>
    <w:p w:rsidR="00DF1E76" w:rsidRPr="00DF1E76" w:rsidRDefault="00DF1E76" w:rsidP="00DF1E76">
      <w:pPr>
        <w:spacing w:before="120" w:after="120" w:line="240" w:lineRule="auto"/>
        <w:ind w:firstLine="357"/>
        <w:jc w:val="both"/>
        <w:outlineLvl w:val="0"/>
        <w:rPr>
          <w:rFonts w:ascii="Arial" w:eastAsia="Times New Roman" w:hAnsi="Arial" w:cs="Arial"/>
          <w:b/>
          <w:bCs/>
          <w:color w:val="000000"/>
          <w:sz w:val="24"/>
          <w:szCs w:val="24"/>
          <w:lang w:eastAsia="cs-CZ"/>
        </w:rPr>
      </w:pPr>
    </w:p>
    <w:p w:rsidR="00DF1E76" w:rsidRPr="00DF1E76" w:rsidRDefault="00DF1E76" w:rsidP="00DF1E76">
      <w:pPr>
        <w:spacing w:after="0" w:line="240" w:lineRule="auto"/>
        <w:jc w:val="both"/>
        <w:outlineLvl w:val="0"/>
        <w:rPr>
          <w:rFonts w:ascii="Arial" w:eastAsia="Times New Roman" w:hAnsi="Arial" w:cs="Arial"/>
          <w:b/>
          <w:color w:val="000000"/>
          <w:sz w:val="24"/>
          <w:szCs w:val="24"/>
          <w:u w:val="single"/>
          <w:lang w:eastAsia="cs-CZ"/>
        </w:rPr>
      </w:pPr>
      <w:r w:rsidRPr="00DF1E76">
        <w:rPr>
          <w:rFonts w:ascii="Arial" w:eastAsia="Times New Roman" w:hAnsi="Arial" w:cs="Arial"/>
          <w:b/>
          <w:color w:val="000000"/>
          <w:sz w:val="24"/>
          <w:szCs w:val="24"/>
          <w:u w:val="single"/>
          <w:lang w:eastAsia="cs-CZ"/>
        </w:rPr>
        <w:t>Zhodnocení dopadů navrhovaného řešení ve vztahu k ochraně soukromí a osobních údajů</w:t>
      </w:r>
    </w:p>
    <w:p w:rsidR="00DF1E76" w:rsidRPr="00DF1E76" w:rsidRDefault="00DF1E76" w:rsidP="00DF1E76">
      <w:pPr>
        <w:spacing w:before="120" w:after="120" w:line="240" w:lineRule="auto"/>
        <w:ind w:firstLine="357"/>
        <w:jc w:val="both"/>
        <w:outlineLvl w:val="0"/>
        <w:rPr>
          <w:rFonts w:ascii="Arial" w:eastAsia="Times New Roman" w:hAnsi="Arial" w:cs="Arial"/>
          <w:color w:val="000000"/>
          <w:sz w:val="24"/>
          <w:szCs w:val="24"/>
          <w:lang w:val="x-none" w:eastAsia="x-none"/>
        </w:rPr>
      </w:pPr>
      <w:r w:rsidRPr="00DF1E76">
        <w:rPr>
          <w:rFonts w:ascii="Arial" w:eastAsia="Times New Roman" w:hAnsi="Arial" w:cs="Arial"/>
          <w:color w:val="000000"/>
          <w:sz w:val="24"/>
          <w:szCs w:val="24"/>
          <w:lang w:val="x-none" w:eastAsia="x-none"/>
        </w:rPr>
        <w:t>Návrh vyhlášky nepřijímá žádná opatření, ve kterých by bylo možné spatřovat potenciální rizika ve vztahu k soukromí a ochraně osobních údajů. Návrh vyhlášky nepřijímá žádná opatření, která by zakládala nové zpracování osobních údajů či měnila již existující zpracování osobních údajů.</w:t>
      </w:r>
    </w:p>
    <w:p w:rsidR="00DF1E76" w:rsidRPr="00DF1E76" w:rsidRDefault="00DF1E76" w:rsidP="00DF1E76">
      <w:pPr>
        <w:spacing w:after="0" w:line="240" w:lineRule="auto"/>
        <w:jc w:val="both"/>
        <w:rPr>
          <w:rFonts w:ascii="Arial" w:eastAsia="Times New Roman" w:hAnsi="Arial" w:cs="Arial"/>
          <w:sz w:val="24"/>
          <w:szCs w:val="24"/>
          <w:lang w:val="x-none" w:eastAsia="x-none"/>
        </w:rPr>
      </w:pPr>
    </w:p>
    <w:p w:rsidR="00DF1E76" w:rsidRPr="00DF1E76" w:rsidRDefault="00DF1E76" w:rsidP="00DF1E76">
      <w:pPr>
        <w:spacing w:after="0" w:line="240" w:lineRule="auto"/>
        <w:jc w:val="both"/>
        <w:outlineLvl w:val="0"/>
        <w:rPr>
          <w:rFonts w:ascii="Arial" w:eastAsia="Times New Roman" w:hAnsi="Arial" w:cs="Arial"/>
          <w:b/>
          <w:color w:val="000000"/>
          <w:sz w:val="24"/>
          <w:szCs w:val="24"/>
          <w:u w:val="single"/>
          <w:lang w:eastAsia="cs-CZ"/>
        </w:rPr>
      </w:pPr>
      <w:r w:rsidRPr="00DF1E76">
        <w:rPr>
          <w:rFonts w:ascii="Arial" w:eastAsia="Times New Roman" w:hAnsi="Arial" w:cs="Arial"/>
          <w:b/>
          <w:color w:val="000000"/>
          <w:sz w:val="24"/>
          <w:szCs w:val="24"/>
          <w:u w:val="single"/>
          <w:lang w:eastAsia="cs-CZ"/>
        </w:rPr>
        <w:t>Zhodnocení korupčních rizik navrhovaného řešení (CIA)</w:t>
      </w:r>
    </w:p>
    <w:p w:rsidR="00DF1E76" w:rsidRPr="00DF1E76" w:rsidRDefault="00DF1E76" w:rsidP="00DF1E76">
      <w:pPr>
        <w:keepNext/>
        <w:spacing w:before="120" w:after="120" w:line="240" w:lineRule="auto"/>
        <w:ind w:firstLine="357"/>
        <w:jc w:val="both"/>
        <w:outlineLvl w:val="0"/>
        <w:rPr>
          <w:rFonts w:ascii="Arial" w:eastAsia="Times New Roman" w:hAnsi="Arial" w:cs="Arial"/>
          <w:color w:val="000000"/>
          <w:sz w:val="24"/>
          <w:szCs w:val="24"/>
          <w:lang w:eastAsia="x-none"/>
        </w:rPr>
      </w:pPr>
      <w:r w:rsidRPr="00DF1E76">
        <w:rPr>
          <w:rFonts w:ascii="Arial" w:eastAsia="Times New Roman" w:hAnsi="Arial" w:cs="Arial"/>
          <w:color w:val="000000"/>
          <w:sz w:val="24"/>
          <w:szCs w:val="24"/>
          <w:lang w:val="x-none" w:eastAsia="x-none"/>
        </w:rPr>
        <w:t>Návrh vyhlášky nepředpokládá žádná korupční rizika.</w:t>
      </w:r>
    </w:p>
    <w:p w:rsidR="00DF1E76" w:rsidRPr="00DF1E76" w:rsidRDefault="00DF1E76" w:rsidP="00DF1E76">
      <w:pPr>
        <w:spacing w:after="0" w:line="240" w:lineRule="auto"/>
        <w:jc w:val="both"/>
        <w:outlineLvl w:val="0"/>
        <w:rPr>
          <w:rFonts w:ascii="Arial" w:eastAsia="Times New Roman" w:hAnsi="Arial" w:cs="Arial"/>
          <w:b/>
          <w:color w:val="000000"/>
          <w:sz w:val="24"/>
          <w:szCs w:val="24"/>
          <w:u w:val="single"/>
          <w:lang w:eastAsia="cs-CZ"/>
        </w:rPr>
      </w:pPr>
    </w:p>
    <w:p w:rsidR="00DF1E76" w:rsidRPr="00DF1E76" w:rsidRDefault="00DF1E76" w:rsidP="00DF1E76">
      <w:pPr>
        <w:spacing w:after="0" w:line="240" w:lineRule="auto"/>
        <w:jc w:val="both"/>
        <w:outlineLvl w:val="0"/>
        <w:rPr>
          <w:rFonts w:ascii="Arial" w:eastAsia="Times New Roman" w:hAnsi="Arial" w:cs="Arial"/>
          <w:b/>
          <w:color w:val="000000"/>
          <w:sz w:val="24"/>
          <w:szCs w:val="24"/>
          <w:u w:val="single"/>
          <w:lang w:eastAsia="cs-CZ"/>
        </w:rPr>
      </w:pPr>
      <w:r w:rsidRPr="00DF1E76">
        <w:rPr>
          <w:rFonts w:ascii="Arial" w:eastAsia="Times New Roman" w:hAnsi="Arial" w:cs="Arial"/>
          <w:b/>
          <w:color w:val="000000"/>
          <w:sz w:val="24"/>
          <w:szCs w:val="24"/>
          <w:u w:val="single"/>
          <w:lang w:eastAsia="cs-CZ"/>
        </w:rPr>
        <w:t>Zhodnocení dopadů na bezpečnost nebo obranu státu</w:t>
      </w:r>
    </w:p>
    <w:p w:rsidR="00DF1E76" w:rsidRPr="00DF1E76" w:rsidRDefault="00DF1E76" w:rsidP="00DF1E76">
      <w:pPr>
        <w:spacing w:before="120" w:after="120" w:line="240" w:lineRule="auto"/>
        <w:ind w:firstLine="357"/>
        <w:jc w:val="both"/>
        <w:outlineLvl w:val="0"/>
        <w:rPr>
          <w:rFonts w:ascii="Arial" w:eastAsia="Times New Roman" w:hAnsi="Arial" w:cs="Arial"/>
          <w:color w:val="000000"/>
          <w:sz w:val="24"/>
          <w:szCs w:val="24"/>
          <w:lang w:eastAsia="cs-CZ"/>
        </w:rPr>
      </w:pPr>
      <w:r w:rsidRPr="00DF1E76">
        <w:rPr>
          <w:rFonts w:ascii="Arial" w:eastAsia="Times New Roman" w:hAnsi="Arial" w:cs="Arial"/>
          <w:color w:val="000000"/>
          <w:sz w:val="24"/>
          <w:szCs w:val="24"/>
          <w:lang w:eastAsia="cs-CZ"/>
        </w:rPr>
        <w:t>Návrh vyhlášky nepředpokládá žádný dopad na bezpečnost nebo obranu státu.</w:t>
      </w:r>
    </w:p>
    <w:p w:rsidR="00DF1E76" w:rsidRPr="00DF1E76" w:rsidRDefault="00DF1E76" w:rsidP="00DF1E76">
      <w:pPr>
        <w:spacing w:after="0" w:line="240" w:lineRule="auto"/>
        <w:jc w:val="both"/>
        <w:outlineLvl w:val="0"/>
        <w:rPr>
          <w:rFonts w:ascii="Arial" w:eastAsia="Times New Roman" w:hAnsi="Arial" w:cs="Arial"/>
          <w:b/>
          <w:color w:val="000000"/>
          <w:sz w:val="24"/>
          <w:szCs w:val="24"/>
          <w:u w:val="single"/>
          <w:lang w:eastAsia="cs-CZ"/>
        </w:rPr>
      </w:pPr>
    </w:p>
    <w:p w:rsidR="00DF1E76" w:rsidRPr="00DF1E76" w:rsidRDefault="00DF1E76" w:rsidP="00DF1E76">
      <w:pPr>
        <w:spacing w:after="0" w:line="240" w:lineRule="auto"/>
        <w:jc w:val="both"/>
        <w:outlineLvl w:val="0"/>
        <w:rPr>
          <w:rFonts w:ascii="Arial" w:eastAsia="Times New Roman" w:hAnsi="Arial" w:cs="Arial"/>
          <w:b/>
          <w:color w:val="000000"/>
          <w:sz w:val="24"/>
          <w:szCs w:val="24"/>
          <w:u w:val="single"/>
          <w:lang w:eastAsia="cs-CZ"/>
        </w:rPr>
      </w:pPr>
      <w:r w:rsidRPr="00DF1E76">
        <w:rPr>
          <w:rFonts w:ascii="Arial" w:eastAsia="Times New Roman" w:hAnsi="Arial" w:cs="Arial"/>
          <w:b/>
          <w:color w:val="000000"/>
          <w:sz w:val="24"/>
          <w:szCs w:val="24"/>
          <w:u w:val="single"/>
          <w:lang w:eastAsia="cs-CZ"/>
        </w:rPr>
        <w:t>Vyjádření k RIA</w:t>
      </w:r>
    </w:p>
    <w:p w:rsidR="00DF1E76" w:rsidRPr="00DF1E76" w:rsidRDefault="00DF1E76" w:rsidP="00DF1E76">
      <w:pPr>
        <w:keepNext/>
        <w:spacing w:before="120" w:after="120" w:line="240" w:lineRule="auto"/>
        <w:ind w:firstLine="357"/>
        <w:jc w:val="both"/>
        <w:outlineLvl w:val="0"/>
        <w:rPr>
          <w:rFonts w:ascii="Arial" w:eastAsia="Times New Roman" w:hAnsi="Arial" w:cs="Arial"/>
          <w:color w:val="000000"/>
          <w:sz w:val="24"/>
          <w:szCs w:val="24"/>
          <w:lang w:eastAsia="x-none"/>
        </w:rPr>
      </w:pPr>
      <w:r w:rsidRPr="00DF1E76">
        <w:rPr>
          <w:rFonts w:ascii="Arial" w:eastAsia="Times New Roman" w:hAnsi="Arial" w:cs="Arial"/>
          <w:bCs/>
          <w:color w:val="000000"/>
          <w:sz w:val="24"/>
          <w:szCs w:val="24"/>
          <w:lang w:val="x-none" w:eastAsia="x-none"/>
        </w:rPr>
        <w:t xml:space="preserve">Hodnocení dopadů regulace (RIA) se </w:t>
      </w:r>
      <w:r w:rsidRPr="00DF1E76">
        <w:rPr>
          <w:rFonts w:ascii="Arial" w:eastAsia="Times New Roman" w:hAnsi="Arial" w:cs="Arial"/>
          <w:color w:val="000000"/>
          <w:sz w:val="24"/>
          <w:szCs w:val="24"/>
          <w:lang w:eastAsia="x-none"/>
        </w:rPr>
        <w:t>na základě schváleného Plánu přípravy vyhlášek ústředními orgány státní správy na rok 2021 s vyznačením povinnosti zpracování RIA</w:t>
      </w:r>
      <w:r w:rsidRPr="00DF1E76">
        <w:rPr>
          <w:rFonts w:ascii="Arial" w:eastAsia="Times New Roman" w:hAnsi="Arial" w:cs="Arial"/>
          <w:bCs/>
          <w:color w:val="000000"/>
          <w:sz w:val="24"/>
          <w:szCs w:val="24"/>
          <w:lang w:val="x-none" w:eastAsia="x-none"/>
        </w:rPr>
        <w:t xml:space="preserve"> k návrhu vyhlášky nezpracovává</w:t>
      </w:r>
      <w:r w:rsidRPr="00DF1E76">
        <w:rPr>
          <w:rFonts w:ascii="Arial" w:eastAsia="Times New Roman" w:hAnsi="Arial" w:cs="Arial"/>
          <w:color w:val="000000"/>
          <w:sz w:val="24"/>
          <w:szCs w:val="24"/>
          <w:lang w:eastAsia="x-none"/>
        </w:rPr>
        <w:t>.</w:t>
      </w:r>
    </w:p>
    <w:p w:rsidR="00DF1E76" w:rsidRPr="00DF1E76" w:rsidRDefault="00DF1E76" w:rsidP="00DF1E76">
      <w:pPr>
        <w:keepNext/>
        <w:spacing w:before="120" w:after="120" w:line="240" w:lineRule="auto"/>
        <w:ind w:firstLine="357"/>
        <w:jc w:val="center"/>
        <w:outlineLvl w:val="0"/>
        <w:rPr>
          <w:rFonts w:ascii="Arial" w:eastAsia="Times New Roman" w:hAnsi="Arial" w:cs="Arial"/>
          <w:sz w:val="24"/>
          <w:szCs w:val="24"/>
          <w:lang w:eastAsia="x-none"/>
        </w:rPr>
      </w:pPr>
      <w:r w:rsidRPr="00DF1E76">
        <w:rPr>
          <w:rFonts w:ascii="Arial" w:eastAsia="Times New Roman" w:hAnsi="Arial" w:cs="Arial"/>
          <w:color w:val="000000"/>
          <w:sz w:val="24"/>
          <w:szCs w:val="24"/>
          <w:lang w:eastAsia="x-none"/>
        </w:rPr>
        <w:br w:type="page"/>
      </w:r>
      <w:r w:rsidRPr="00DF1E76">
        <w:rPr>
          <w:rFonts w:ascii="Arial" w:eastAsia="Times New Roman" w:hAnsi="Arial" w:cs="Arial"/>
          <w:b/>
          <w:sz w:val="24"/>
          <w:szCs w:val="24"/>
          <w:lang w:val="x-none" w:eastAsia="x-none"/>
        </w:rPr>
        <w:lastRenderedPageBreak/>
        <w:t>Zvláštní část</w:t>
      </w:r>
    </w:p>
    <w:p w:rsidR="00DF1E76" w:rsidRPr="00DF1E76" w:rsidRDefault="00DF1E76" w:rsidP="00DF1E76">
      <w:pPr>
        <w:autoSpaceDE w:val="0"/>
        <w:autoSpaceDN w:val="0"/>
        <w:adjustRightInd w:val="0"/>
        <w:spacing w:after="0" w:line="240" w:lineRule="auto"/>
        <w:jc w:val="both"/>
        <w:rPr>
          <w:rFonts w:ascii="Arial" w:eastAsia="Times New Roman" w:hAnsi="Arial" w:cs="Arial"/>
          <w:b/>
          <w:bCs/>
          <w:sz w:val="24"/>
          <w:szCs w:val="24"/>
          <w:lang w:eastAsia="cs-CZ"/>
        </w:rPr>
      </w:pPr>
    </w:p>
    <w:p w:rsidR="00DF1E76" w:rsidRPr="00DF1E76" w:rsidRDefault="00DF1E76" w:rsidP="00DF1E76">
      <w:pPr>
        <w:spacing w:before="60" w:after="0" w:line="240" w:lineRule="auto"/>
        <w:jc w:val="both"/>
        <w:rPr>
          <w:rFonts w:ascii="Arial" w:eastAsia="Times New Roman" w:hAnsi="Arial" w:cs="Arial"/>
          <w:b/>
          <w:sz w:val="24"/>
          <w:szCs w:val="24"/>
          <w:lang w:eastAsia="cs-CZ"/>
        </w:rPr>
      </w:pPr>
      <w:r w:rsidRPr="00DF1E76">
        <w:rPr>
          <w:rFonts w:ascii="Arial" w:eastAsia="Times New Roman" w:hAnsi="Arial" w:cs="Arial"/>
          <w:b/>
          <w:sz w:val="24"/>
          <w:szCs w:val="24"/>
          <w:lang w:eastAsia="cs-CZ"/>
        </w:rPr>
        <w:t>K Čl. I</w:t>
      </w:r>
    </w:p>
    <w:p w:rsidR="00DF1E76" w:rsidRPr="00DF1E76" w:rsidRDefault="00DF1E76" w:rsidP="00DF1E76">
      <w:pPr>
        <w:spacing w:before="60" w:after="0" w:line="240" w:lineRule="auto"/>
        <w:jc w:val="both"/>
        <w:rPr>
          <w:rFonts w:ascii="Arial" w:eastAsia="Times New Roman" w:hAnsi="Arial" w:cs="Arial"/>
          <w:b/>
          <w:sz w:val="24"/>
          <w:szCs w:val="24"/>
          <w:lang w:eastAsia="cs-CZ"/>
        </w:rPr>
      </w:pPr>
      <w:r w:rsidRPr="00DF1E76">
        <w:rPr>
          <w:rFonts w:ascii="Arial" w:eastAsia="Times New Roman" w:hAnsi="Arial" w:cs="Arial"/>
          <w:b/>
          <w:sz w:val="24"/>
          <w:szCs w:val="24"/>
          <w:lang w:eastAsia="cs-CZ"/>
        </w:rPr>
        <w:t>K bodu 1 a 2</w:t>
      </w:r>
    </w:p>
    <w:p w:rsidR="00DF1E76" w:rsidRPr="00DF1E76" w:rsidRDefault="00DF1E76" w:rsidP="00DF1E76">
      <w:pPr>
        <w:spacing w:before="60" w:after="0" w:line="240" w:lineRule="auto"/>
        <w:ind w:firstLine="708"/>
        <w:jc w:val="both"/>
        <w:rPr>
          <w:rFonts w:ascii="Arial" w:eastAsia="Times New Roman" w:hAnsi="Arial" w:cs="Arial"/>
          <w:sz w:val="24"/>
          <w:szCs w:val="24"/>
          <w:lang w:eastAsia="cs-CZ"/>
        </w:rPr>
      </w:pPr>
      <w:r w:rsidRPr="00DF1E76">
        <w:rPr>
          <w:rFonts w:ascii="Arial" w:eastAsia="Times New Roman" w:hAnsi="Arial" w:cs="Arial"/>
          <w:sz w:val="24"/>
          <w:szCs w:val="24"/>
          <w:lang w:eastAsia="cs-CZ"/>
        </w:rPr>
        <w:t>Úprava zohledňuje časté změny obsahu, přečíslovávání, rušení a novelizace technických norem v této technologické oblasti. Odkazuje se pouze na jednu normu, která postihuje obecné požadavky a doporučení pro tyto systémy.</w:t>
      </w:r>
    </w:p>
    <w:p w:rsidR="00DF1E76" w:rsidRPr="00DF1E76" w:rsidRDefault="00DF1E76" w:rsidP="00DF1E76">
      <w:pPr>
        <w:spacing w:before="60" w:after="0" w:line="240" w:lineRule="auto"/>
        <w:jc w:val="both"/>
        <w:rPr>
          <w:rFonts w:ascii="Arial" w:eastAsia="Times New Roman" w:hAnsi="Arial" w:cs="Arial"/>
          <w:b/>
          <w:sz w:val="24"/>
          <w:szCs w:val="24"/>
          <w:lang w:eastAsia="cs-CZ"/>
        </w:rPr>
      </w:pPr>
    </w:p>
    <w:p w:rsidR="00DF1E76" w:rsidRPr="00DF1E76" w:rsidRDefault="00DF1E76" w:rsidP="00DF1E76">
      <w:pPr>
        <w:spacing w:before="60" w:after="0" w:line="240" w:lineRule="auto"/>
        <w:jc w:val="both"/>
        <w:rPr>
          <w:rFonts w:ascii="Arial" w:eastAsia="Times New Roman" w:hAnsi="Arial" w:cs="Arial"/>
          <w:b/>
          <w:sz w:val="24"/>
          <w:szCs w:val="24"/>
          <w:lang w:eastAsia="cs-CZ"/>
        </w:rPr>
      </w:pPr>
      <w:r w:rsidRPr="00DF1E76">
        <w:rPr>
          <w:rFonts w:ascii="Arial" w:eastAsia="Times New Roman" w:hAnsi="Arial" w:cs="Arial"/>
          <w:b/>
          <w:sz w:val="24"/>
          <w:szCs w:val="24"/>
          <w:lang w:eastAsia="cs-CZ"/>
        </w:rPr>
        <w:t>K bodu 3 a 4</w:t>
      </w:r>
    </w:p>
    <w:p w:rsidR="00DF1E76" w:rsidRPr="00DF1E76" w:rsidRDefault="00DF1E76" w:rsidP="00DF1E76">
      <w:pPr>
        <w:spacing w:before="60" w:after="0" w:line="240" w:lineRule="auto"/>
        <w:ind w:firstLine="708"/>
        <w:jc w:val="both"/>
        <w:rPr>
          <w:rFonts w:ascii="Arial" w:eastAsia="Times New Roman" w:hAnsi="Arial" w:cs="Arial"/>
          <w:b/>
          <w:color w:val="000000"/>
          <w:sz w:val="24"/>
          <w:szCs w:val="24"/>
          <w:shd w:val="clear" w:color="auto" w:fill="FFFFFF"/>
          <w:lang w:eastAsia="cs-CZ"/>
        </w:rPr>
      </w:pPr>
      <w:r w:rsidRPr="00DF1E76">
        <w:rPr>
          <w:rFonts w:ascii="Arial" w:eastAsia="Times New Roman" w:hAnsi="Arial" w:cs="Arial"/>
          <w:sz w:val="24"/>
          <w:szCs w:val="24"/>
          <w:lang w:eastAsia="cs-CZ"/>
        </w:rPr>
        <w:t xml:space="preserve">Zrušením normy ČSN EN 54 k povinnosti splňovat ustanovení vztahující se k elektrické požární signalizaci ve vazbě na </w:t>
      </w:r>
      <w:r w:rsidRPr="00DF1E76">
        <w:rPr>
          <w:rFonts w:ascii="Arial" w:eastAsia="MS Mincho" w:hAnsi="Arial" w:cs="Arial"/>
          <w:sz w:val="24"/>
          <w:szCs w:val="24"/>
          <w:lang w:eastAsia="cs-CZ"/>
        </w:rPr>
        <w:t xml:space="preserve">vyhlášku č. 246/2001 Sb., </w:t>
      </w:r>
      <w:r w:rsidRPr="00DF1E76">
        <w:rPr>
          <w:rFonts w:ascii="Arial" w:eastAsia="Times New Roman" w:hAnsi="Arial" w:cs="Arial"/>
          <w:color w:val="000000"/>
          <w:sz w:val="24"/>
          <w:szCs w:val="24"/>
          <w:shd w:val="clear" w:color="auto" w:fill="FFFFFF"/>
          <w:lang w:eastAsia="cs-CZ"/>
        </w:rPr>
        <w:t>o stanovení podmínek požární bezpečnosti a výkonu státního požárního dozoru, ve znění vyhlášky č.</w:t>
      </w:r>
      <w:r w:rsidRPr="00DF1E76">
        <w:rPr>
          <w:rFonts w:ascii="Arial" w:eastAsia="Times New Roman" w:hAnsi="Arial" w:cs="Arial"/>
          <w:sz w:val="24"/>
          <w:szCs w:val="24"/>
          <w:lang w:eastAsia="cs-CZ"/>
        </w:rPr>
        <w:t xml:space="preserve"> </w:t>
      </w:r>
      <w:r w:rsidRPr="00DF1E76">
        <w:rPr>
          <w:rFonts w:ascii="Arial" w:eastAsia="Times New Roman" w:hAnsi="Arial" w:cs="Arial"/>
          <w:color w:val="000000"/>
          <w:sz w:val="24"/>
          <w:szCs w:val="24"/>
          <w:shd w:val="clear" w:color="auto" w:fill="FFFFFF"/>
          <w:lang w:eastAsia="cs-CZ"/>
        </w:rPr>
        <w:t>221/2014 Sb. a vyhlášky č.19/2021 Sb</w:t>
      </w:r>
      <w:r w:rsidRPr="00DF1E76">
        <w:rPr>
          <w:rFonts w:ascii="Arial" w:eastAsia="Times New Roman" w:hAnsi="Arial" w:cs="Arial"/>
          <w:b/>
          <w:color w:val="000000"/>
          <w:sz w:val="24"/>
          <w:szCs w:val="24"/>
          <w:shd w:val="clear" w:color="auto" w:fill="FFFFFF"/>
          <w:lang w:eastAsia="cs-CZ"/>
        </w:rPr>
        <w:t>.</w:t>
      </w:r>
    </w:p>
    <w:p w:rsidR="00DF1E76" w:rsidRPr="00DF1E76" w:rsidRDefault="00DF1E76" w:rsidP="00DF1E76">
      <w:pPr>
        <w:spacing w:before="60" w:after="0" w:line="240" w:lineRule="auto"/>
        <w:jc w:val="both"/>
        <w:rPr>
          <w:rFonts w:ascii="Arial" w:eastAsia="Times New Roman" w:hAnsi="Arial" w:cs="Arial"/>
          <w:b/>
          <w:sz w:val="24"/>
          <w:szCs w:val="24"/>
          <w:lang w:eastAsia="cs-CZ"/>
        </w:rPr>
      </w:pPr>
    </w:p>
    <w:p w:rsidR="00DF1E76" w:rsidRPr="00DF1E76" w:rsidRDefault="00DF1E76" w:rsidP="00DF1E76">
      <w:pPr>
        <w:spacing w:before="60" w:after="0" w:line="240" w:lineRule="auto"/>
        <w:jc w:val="both"/>
        <w:rPr>
          <w:rFonts w:ascii="Arial" w:eastAsia="Times New Roman" w:hAnsi="Arial" w:cs="Arial"/>
          <w:b/>
          <w:sz w:val="24"/>
          <w:szCs w:val="24"/>
          <w:lang w:eastAsia="cs-CZ"/>
        </w:rPr>
      </w:pPr>
      <w:r w:rsidRPr="00DF1E76">
        <w:rPr>
          <w:rFonts w:ascii="Arial" w:eastAsia="Times New Roman" w:hAnsi="Arial" w:cs="Arial"/>
          <w:b/>
          <w:sz w:val="24"/>
          <w:szCs w:val="24"/>
          <w:lang w:eastAsia="cs-CZ"/>
        </w:rPr>
        <w:t>K bodu 5</w:t>
      </w:r>
    </w:p>
    <w:p w:rsidR="00DF1E76" w:rsidRPr="00DF1E76" w:rsidRDefault="00DF1E76" w:rsidP="00DF1E76">
      <w:pPr>
        <w:widowControl w:val="0"/>
        <w:suppressAutoHyphens/>
        <w:spacing w:after="120" w:line="240" w:lineRule="auto"/>
        <w:ind w:firstLine="709"/>
        <w:jc w:val="both"/>
        <w:rPr>
          <w:rFonts w:ascii="Arial" w:eastAsia="SimSun" w:hAnsi="Arial" w:cs="Arial"/>
          <w:kern w:val="1"/>
          <w:sz w:val="24"/>
          <w:szCs w:val="24"/>
          <w:lang w:eastAsia="hi-IN" w:bidi="hi-IN"/>
        </w:rPr>
      </w:pPr>
      <w:r w:rsidRPr="00DF1E76">
        <w:rPr>
          <w:rFonts w:ascii="Arial" w:eastAsia="SimSun" w:hAnsi="Arial" w:cs="Arial"/>
          <w:kern w:val="1"/>
          <w:sz w:val="24"/>
          <w:szCs w:val="24"/>
          <w:lang w:eastAsia="hi-IN" w:bidi="hi-IN"/>
        </w:rPr>
        <w:t>Navrhuje se nová úprava bodů 9.1.–9.4. přílohy č.1, která akceptuje přímo závazné nařízení „</w:t>
      </w:r>
      <w:r w:rsidRPr="00DF1E76">
        <w:rPr>
          <w:rFonts w:ascii="Arial" w:eastAsia="SimSun" w:hAnsi="Arial" w:cs="Arial"/>
          <w:kern w:val="1"/>
          <w:sz w:val="24"/>
          <w:szCs w:val="24"/>
          <w:lang w:bidi="hi-IN"/>
        </w:rPr>
        <w:t>DIRECTIVE ON THE SECURITY OF NATO CLASSIFIED INFORMATION</w:t>
      </w:r>
      <w:r w:rsidRPr="00DF1E76">
        <w:rPr>
          <w:rFonts w:ascii="Arial" w:eastAsia="SimSun" w:hAnsi="Arial" w:cs="Arial"/>
          <w:b/>
          <w:bCs/>
          <w:kern w:val="1"/>
          <w:sz w:val="24"/>
          <w:szCs w:val="24"/>
          <w:lang w:bidi="hi-IN"/>
        </w:rPr>
        <w:t>-</w:t>
      </w:r>
      <w:r w:rsidRPr="00DF1E76">
        <w:rPr>
          <w:rFonts w:ascii="Arial" w:eastAsia="SimSun" w:hAnsi="Arial" w:cs="Arial"/>
          <w:kern w:val="1"/>
          <w:sz w:val="24"/>
          <w:szCs w:val="24"/>
          <w:lang w:bidi="hi-IN"/>
        </w:rPr>
        <w:t xml:space="preserve">AC/35-D/2002-REV5“ ze dne 25. 11. 2020, které vychází z rozměrů odpadních částic stanovených v normě </w:t>
      </w:r>
      <w:r w:rsidRPr="00DF1E76">
        <w:rPr>
          <w:rFonts w:ascii="Arial" w:eastAsia="SimSun" w:hAnsi="Arial" w:cs="Arial"/>
          <w:kern w:val="1"/>
          <w:sz w:val="24"/>
          <w:szCs w:val="24"/>
          <w:lang w:eastAsia="hi-IN" w:bidi="hi-IN"/>
        </w:rPr>
        <w:t xml:space="preserve">ISO/IEC 21964-2:2018. Doplnění o drcení nebo rozvláknění zohledňuje poznatky z aplikační praxe. Dále je dána možnost variantního ničení utajovaných informací, jaká je využívána v nařízení NATO – </w:t>
      </w:r>
      <w:r w:rsidRPr="00DF1E76">
        <w:rPr>
          <w:rFonts w:ascii="Arial" w:eastAsia="SimSun" w:hAnsi="Arial" w:cs="Arial"/>
          <w:kern w:val="1"/>
          <w:sz w:val="24"/>
          <w:szCs w:val="24"/>
          <w:lang w:bidi="hi-IN"/>
        </w:rPr>
        <w:t>AC/35-D/2002-REV5.</w:t>
      </w:r>
    </w:p>
    <w:p w:rsidR="00DF1E76" w:rsidRPr="00DF1E76" w:rsidRDefault="00DF1E76" w:rsidP="00DF1E76">
      <w:pPr>
        <w:widowControl w:val="0"/>
        <w:autoSpaceDE w:val="0"/>
        <w:autoSpaceDN w:val="0"/>
        <w:adjustRightInd w:val="0"/>
        <w:spacing w:after="120" w:line="240" w:lineRule="auto"/>
        <w:ind w:firstLine="709"/>
        <w:jc w:val="both"/>
        <w:rPr>
          <w:rFonts w:ascii="Arial" w:eastAsia="Times New Roman" w:hAnsi="Arial" w:cs="Arial"/>
          <w:sz w:val="24"/>
          <w:szCs w:val="24"/>
          <w:lang w:eastAsia="cs-CZ"/>
        </w:rPr>
      </w:pPr>
      <w:r w:rsidRPr="00DF1E76">
        <w:rPr>
          <w:rFonts w:ascii="Arial" w:eastAsia="Times New Roman" w:hAnsi="Arial" w:cs="Arial"/>
          <w:sz w:val="24"/>
          <w:szCs w:val="24"/>
          <w:lang w:eastAsia="cs-CZ"/>
        </w:rPr>
        <w:t>Zařízení fyzického ničení nosičů informací nebo dat typu 0 jsou určena pro ničení utajovaných informací stupně utajení Přísně tajné nebo nižší. K ničení se používá spálení, roztavení, drcení nebo rozvláknění. Teplota, které budou vystaveny při spálení nebo roztavení, způsob drcení nebo rozvláknění, a doba jejího působení musí vést k jejich úplnému zničení.</w:t>
      </w:r>
      <w:r w:rsidRPr="00DF1E76">
        <w:rPr>
          <w:rFonts w:ascii="Arial" w:eastAsia="Times New Roman" w:hAnsi="Arial" w:cs="Arial"/>
          <w:b/>
          <w:sz w:val="24"/>
          <w:szCs w:val="24"/>
          <w:lang w:eastAsia="cs-CZ"/>
        </w:rPr>
        <w:t xml:space="preserve"> </w:t>
      </w:r>
      <w:r w:rsidRPr="00DF1E76">
        <w:rPr>
          <w:rFonts w:ascii="Arial" w:eastAsia="Times New Roman" w:hAnsi="Arial" w:cs="Arial"/>
          <w:sz w:val="24"/>
          <w:szCs w:val="24"/>
          <w:lang w:eastAsia="cs-CZ"/>
        </w:rPr>
        <w:t>Odpovědná osoba nebo jí pověřená osoba, která provádí vyřazování utajované informace, zajistí, že použitím metody spálení roztavení, drcení nebo rozvláknění dojde k úplnému zničení nosiče a nemožnosti obnovení utajované informace.</w:t>
      </w:r>
    </w:p>
    <w:p w:rsidR="00DF1E76" w:rsidRPr="00DF1E76" w:rsidRDefault="00DF1E76" w:rsidP="00DF1E76">
      <w:pPr>
        <w:widowControl w:val="0"/>
        <w:autoSpaceDE w:val="0"/>
        <w:autoSpaceDN w:val="0"/>
        <w:adjustRightInd w:val="0"/>
        <w:spacing w:after="120" w:line="240" w:lineRule="auto"/>
        <w:ind w:firstLine="709"/>
        <w:jc w:val="both"/>
        <w:rPr>
          <w:rFonts w:ascii="Arial" w:eastAsia="Times New Roman" w:hAnsi="Arial" w:cs="Arial"/>
          <w:bCs/>
          <w:sz w:val="24"/>
          <w:szCs w:val="24"/>
          <w:lang w:eastAsia="cs-CZ"/>
        </w:rPr>
      </w:pPr>
      <w:r w:rsidRPr="00DF1E76">
        <w:rPr>
          <w:rFonts w:ascii="Arial" w:eastAsia="Times New Roman" w:hAnsi="Arial" w:cs="Arial"/>
          <w:sz w:val="24"/>
          <w:szCs w:val="24"/>
          <w:lang w:eastAsia="cs-CZ"/>
        </w:rPr>
        <w:t>Zařízení fyzického ničení nosičů informací nebo dat typu 0 jsou určena také pro ničení utajovaných informací cizí moci stupně utajení Přísně tajné nebo nižší.</w:t>
      </w:r>
    </w:p>
    <w:p w:rsidR="00DF1E76" w:rsidRPr="00DF1E76" w:rsidRDefault="00DF1E76" w:rsidP="00DF1E76">
      <w:pPr>
        <w:widowControl w:val="0"/>
        <w:autoSpaceDE w:val="0"/>
        <w:autoSpaceDN w:val="0"/>
        <w:adjustRightInd w:val="0"/>
        <w:spacing w:after="120" w:line="240" w:lineRule="auto"/>
        <w:ind w:firstLine="709"/>
        <w:jc w:val="both"/>
        <w:rPr>
          <w:rFonts w:ascii="Arial" w:eastAsia="Times New Roman" w:hAnsi="Arial" w:cs="Arial"/>
          <w:b/>
          <w:sz w:val="24"/>
          <w:szCs w:val="24"/>
          <w:lang w:eastAsia="cs-CZ"/>
        </w:rPr>
      </w:pPr>
      <w:r w:rsidRPr="00DF1E76">
        <w:rPr>
          <w:rFonts w:ascii="Arial" w:eastAsia="Times New Roman" w:hAnsi="Arial" w:cs="Arial"/>
          <w:sz w:val="24"/>
          <w:szCs w:val="24"/>
          <w:lang w:eastAsia="cs-CZ"/>
        </w:rPr>
        <w:t>Pokud zařízení fyzického ničení nosičů informací nebo dat nesplní uvedené požadavky na velikost odpadních částic pro odpovídající stupně utajení, musí odpovědná osoba nebo jí pověřená osoba zajistit další zničení odpadních částic typem 0, tj. použitím metody spálením, roztavením, drcením nebo rozvlákněním.</w:t>
      </w:r>
    </w:p>
    <w:p w:rsidR="00DF1E76" w:rsidRPr="00DF1E76" w:rsidRDefault="00DF1E76" w:rsidP="00DF1E76">
      <w:pPr>
        <w:widowControl w:val="0"/>
        <w:autoSpaceDE w:val="0"/>
        <w:autoSpaceDN w:val="0"/>
        <w:adjustRightInd w:val="0"/>
        <w:spacing w:after="120" w:line="240" w:lineRule="auto"/>
        <w:ind w:firstLine="709"/>
        <w:jc w:val="both"/>
        <w:rPr>
          <w:rFonts w:ascii="Arial" w:eastAsia="Times New Roman" w:hAnsi="Arial" w:cs="Arial"/>
          <w:b/>
          <w:sz w:val="24"/>
          <w:szCs w:val="24"/>
          <w:lang w:eastAsia="cs-CZ"/>
        </w:rPr>
      </w:pPr>
    </w:p>
    <w:p w:rsidR="00DF1E76" w:rsidRPr="00DF1E76" w:rsidRDefault="00DF1E76" w:rsidP="00DF1E76">
      <w:pPr>
        <w:spacing w:after="120" w:line="240" w:lineRule="auto"/>
        <w:jc w:val="both"/>
        <w:rPr>
          <w:rFonts w:ascii="Arial" w:eastAsia="Times New Roman" w:hAnsi="Arial" w:cs="Arial"/>
          <w:b/>
          <w:sz w:val="24"/>
          <w:szCs w:val="24"/>
          <w:lang w:eastAsia="cs-CZ"/>
        </w:rPr>
      </w:pPr>
      <w:r w:rsidRPr="00DF1E76">
        <w:rPr>
          <w:rFonts w:ascii="Arial" w:eastAsia="Times New Roman" w:hAnsi="Arial" w:cs="Arial"/>
          <w:b/>
          <w:sz w:val="24"/>
          <w:szCs w:val="24"/>
          <w:lang w:eastAsia="cs-CZ"/>
        </w:rPr>
        <w:t>K bodu 6</w:t>
      </w:r>
    </w:p>
    <w:p w:rsidR="00DF1E76" w:rsidRPr="00DF1E76" w:rsidRDefault="00DF1E76" w:rsidP="00DF1E76">
      <w:pPr>
        <w:spacing w:after="120" w:line="240" w:lineRule="auto"/>
        <w:ind w:left="567"/>
        <w:jc w:val="both"/>
        <w:rPr>
          <w:rFonts w:ascii="Arial" w:eastAsia="Times New Roman" w:hAnsi="Arial" w:cs="Arial"/>
          <w:b/>
          <w:sz w:val="24"/>
          <w:szCs w:val="24"/>
          <w:lang w:eastAsia="cs-CZ"/>
        </w:rPr>
      </w:pPr>
      <w:r w:rsidRPr="00DF1E76">
        <w:rPr>
          <w:rFonts w:ascii="Arial" w:eastAsia="Times New Roman" w:hAnsi="Arial" w:cs="Arial"/>
          <w:sz w:val="24"/>
          <w:szCs w:val="24"/>
          <w:lang w:eastAsia="cs-CZ"/>
        </w:rPr>
        <w:t>Jedná se o legislativně technickou opravu nesprávného označení odstavce.</w:t>
      </w:r>
    </w:p>
    <w:p w:rsidR="00DF1E76" w:rsidRPr="00DF1E76" w:rsidRDefault="00DF1E76" w:rsidP="00DF1E76">
      <w:pPr>
        <w:widowControl w:val="0"/>
        <w:autoSpaceDE w:val="0"/>
        <w:autoSpaceDN w:val="0"/>
        <w:adjustRightInd w:val="0"/>
        <w:spacing w:after="120" w:line="240" w:lineRule="auto"/>
        <w:ind w:firstLine="709"/>
        <w:jc w:val="both"/>
        <w:rPr>
          <w:rFonts w:ascii="Arial" w:eastAsia="Times New Roman" w:hAnsi="Arial" w:cs="Arial"/>
          <w:b/>
          <w:sz w:val="24"/>
          <w:szCs w:val="24"/>
          <w:lang w:eastAsia="cs-CZ"/>
        </w:rPr>
      </w:pPr>
    </w:p>
    <w:p w:rsidR="00DF1E76" w:rsidRPr="00DF1E76" w:rsidRDefault="00DF1E76" w:rsidP="00DF1E76">
      <w:pPr>
        <w:widowControl w:val="0"/>
        <w:autoSpaceDE w:val="0"/>
        <w:autoSpaceDN w:val="0"/>
        <w:adjustRightInd w:val="0"/>
        <w:spacing w:after="120" w:line="240" w:lineRule="auto"/>
        <w:jc w:val="both"/>
        <w:rPr>
          <w:rFonts w:ascii="Arial" w:eastAsia="Times New Roman" w:hAnsi="Arial" w:cs="Arial"/>
          <w:b/>
          <w:color w:val="000000"/>
          <w:sz w:val="24"/>
          <w:szCs w:val="24"/>
          <w:lang w:eastAsia="cs-CZ"/>
        </w:rPr>
      </w:pPr>
      <w:r w:rsidRPr="00DF1E76">
        <w:rPr>
          <w:rFonts w:ascii="Arial" w:eastAsia="Times New Roman" w:hAnsi="Arial" w:cs="Arial"/>
          <w:b/>
          <w:color w:val="000000"/>
          <w:sz w:val="24"/>
          <w:szCs w:val="24"/>
          <w:lang w:eastAsia="cs-CZ"/>
        </w:rPr>
        <w:t>K Čl. II</w:t>
      </w:r>
    </w:p>
    <w:p w:rsidR="00C32581" w:rsidRDefault="00DF1E76" w:rsidP="00656CD6">
      <w:pPr>
        <w:spacing w:after="0" w:line="240" w:lineRule="auto"/>
        <w:ind w:firstLine="708"/>
        <w:jc w:val="both"/>
      </w:pPr>
      <w:r w:rsidRPr="00DF1E76">
        <w:rPr>
          <w:rFonts w:ascii="Arial" w:eastAsia="Times New Roman" w:hAnsi="Arial" w:cs="Arial"/>
          <w:sz w:val="24"/>
          <w:szCs w:val="24"/>
          <w:lang w:eastAsia="cs-CZ"/>
        </w:rPr>
        <w:t>Účinnost vyhlášky je v souladu s § 3 odst. 3 zákona č. 309/1999 Sb., o Sbírce zákonů a o Sbírce mezinárodních smluv, ve znění pozdějších předpisů, navrhována dnem 1. ledna 2022.</w:t>
      </w:r>
      <w:bookmarkStart w:id="0" w:name="_GoBack"/>
      <w:bookmarkEnd w:id="0"/>
    </w:p>
    <w:sectPr w:rsidR="00C32581" w:rsidSect="00D81C71">
      <w:headerReference w:type="even" r:id="rId4"/>
      <w:headerReference w:type="default" r:id="rId5"/>
      <w:footerReference w:type="even" r:id="rId6"/>
      <w:footerReference w:type="default" r:id="rId7"/>
      <w:footerReference w:type="first" r:id="rId8"/>
      <w:pgSz w:w="11906" w:h="16838"/>
      <w:pgMar w:top="1417" w:right="1417" w:bottom="1417" w:left="1417" w:header="708" w:footer="708" w:gutter="0"/>
      <w:pgNumType w:start="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90B" w:rsidRDefault="00656CD6" w:rsidP="001F392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4E390B" w:rsidRDefault="00656CD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C71" w:rsidRDefault="00656CD6">
    <w:pPr>
      <w:pStyle w:val="Zpat"/>
      <w:jc w:val="right"/>
    </w:pPr>
    <w:r>
      <w:fldChar w:fldCharType="begin"/>
    </w:r>
    <w:r>
      <w:instrText>PAGE   \* MERGEFORMAT</w:instrText>
    </w:r>
    <w:r>
      <w:fldChar w:fldCharType="separate"/>
    </w:r>
    <w:r>
      <w:t>2</w:t>
    </w:r>
    <w:r>
      <w:fldChar w:fldCharType="end"/>
    </w:r>
  </w:p>
  <w:p w:rsidR="00D81C71" w:rsidRDefault="00656CD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C71" w:rsidRDefault="00656CD6">
    <w:pPr>
      <w:pStyle w:val="Zpat"/>
      <w:jc w:val="right"/>
    </w:pPr>
    <w:r>
      <w:fldChar w:fldCharType="begin"/>
    </w:r>
    <w:r>
      <w:instrText>PAGE   \* MERGEFORMAT</w:instrText>
    </w:r>
    <w:r>
      <w:fldChar w:fldCharType="separate"/>
    </w:r>
    <w:r>
      <w:t>2</w:t>
    </w:r>
    <w:r>
      <w:fldChar w:fldCharType="end"/>
    </w:r>
  </w:p>
  <w:p w:rsidR="00D81C71" w:rsidRDefault="00656CD6">
    <w:pPr>
      <w:pStyle w:val="Zpa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90B" w:rsidRDefault="00656CD6" w:rsidP="001F392A">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4E390B" w:rsidRDefault="00656CD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90B" w:rsidRDefault="00656CD6" w:rsidP="001F392A">
    <w:pPr>
      <w:pStyle w:val="Zhlav"/>
      <w:framePr w:wrap="around" w:vAnchor="text" w:hAnchor="margin" w:xAlign="center" w:y="1"/>
      <w:rPr>
        <w:rStyle w:val="slostrnky"/>
      </w:rPr>
    </w:pPr>
  </w:p>
  <w:p w:rsidR="004E390B" w:rsidRDefault="00656CD6">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E76"/>
    <w:rsid w:val="00656CD6"/>
    <w:rsid w:val="00C32581"/>
    <w:rsid w:val="00DF1E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EAE6D-2171-4C71-9CDA-EEA0B6A42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semiHidden/>
    <w:unhideWhenUsed/>
    <w:rsid w:val="00DF1E76"/>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DF1E76"/>
  </w:style>
  <w:style w:type="paragraph" w:styleId="Zhlav">
    <w:name w:val="header"/>
    <w:basedOn w:val="Normln"/>
    <w:link w:val="ZhlavChar"/>
    <w:uiPriority w:val="99"/>
    <w:semiHidden/>
    <w:unhideWhenUsed/>
    <w:rsid w:val="00DF1E7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F1E76"/>
  </w:style>
  <w:style w:type="character" w:styleId="slostrnky">
    <w:name w:val="page number"/>
    <w:basedOn w:val="Standardnpsmoodstavce"/>
    <w:rsid w:val="00DF1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10" Type="http://schemas.openxmlformats.org/officeDocument/2006/relationships/theme" Target="theme/theme1.xml"/><Relationship Id="rId4" Type="http://schemas.openxmlformats.org/officeDocument/2006/relationships/header" Target="header1.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970</Words>
  <Characters>5726</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Baldová Marie</dc:creator>
  <cp:keywords/>
  <dc:description/>
  <cp:lastModifiedBy>Baldová Marie</cp:lastModifiedBy>
  <cp:revision>2</cp:revision>
  <dcterms:created xsi:type="dcterms:W3CDTF">2021-09-22T11:23:00Z</dcterms:created>
  <dcterms:modified xsi:type="dcterms:W3CDTF">2021-09-22T11:24:00Z</dcterms:modified>
</cp:coreProperties>
</file>