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405/2011 Sb.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VYHLÁŠKA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ze dne 7. prosince 2011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 průmyslové bezpečnosti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Změna: 416/2013 Sb.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Národní bezpečnostní úřad stanoví podle § 15a odst. 7, § 64, § 75a odst. 4 a § 135 písm. b), d), g), i) až k) zákona č. 412/2005 Sb., o ochraně utajovaných informací a o bezpečnostní způsobilosti, ve znění pozdějších předpisů, (dále jen „zákon“):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1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Vzory v oblasti průmyslové bezpečnosti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(1) Vzor žádosti podnikatele podle § 96 odst. 1 zákona je uveden v příloze č. 1 k této vyhlášce.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(2) Vzor osvědčení podnikatele podle § 54 odst. 3 zákona je uveden v příloze č. 2 k této vyhlášce.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(3) Vzor žádosti o vydání osvědčení podnikatele pro cizí moc podle § 57 odst. 2 zákona je uveden v příloze č. 3 k této vyhlášce.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(4) Vzor žádosti o uznání bezpečnostního oprávnění podnikatele podle § 62 odst. 2 zákona je uveden v příloze č. 4 k této vyhlášce.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(5) Vzor dotazníku podnikatele podle § 97 zákona je uveden v příloze č. 5 k této vyhlášce.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(6) Vzor prohlášení o zproštění povinnosti mlčenlivosti podle § 96 odst. 2 písm. d) zákona je uveden v příloze č. 6 k této vyhlášce.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(7) Vzor prohlášení podnikatele podle § 15a zákona je uveden v příloze č. 7 k této vyhlášce.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2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Zdůvodnění žádosti podnikatele podle § 96 odst. 1 zákona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Zdůvodnění žádosti podnikatele obsahuje údaje o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a) předmětu podnikání, v jehož rámci podnikatel požaduje přístup k utajované informaci,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b) veřejné zakázce, v rámci které je požadován přístup k utajované informaci, jejím zadavateli a předpokládané době trvání zadávacího řízení,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c) koncesní smlouvě, v rámci které je požadován přístup k utajované informaci, jejím veřejném zadavateli a předpokládané době trvání koncesního řízení,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d) veřejné zakázce nebo koncesní smlouvě před zahájením zadávacího nebo koncesního řízení, o kterou se podnikatel hodlá ucházet a v rámci které se předpokládá přístup k utajované informaci, zadavateli nebo veřejném zadavateli a předpokládaném termínu zahájení zadávacího nebo koncesního řízení,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e) smlouvě, případně jiné právní skutečnosti, na základě které je požadován přístup k utajované informaci, předmětu této smlouvy a poskytovateli utajované informace,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f) skutečnosti, na základě které bude u podnikatele vznikat utajovaná informace,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g) okolnostech, které odůvodňují požadovanou formu přístupu podle § 20 zákona.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3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Písemnosti k ověření splnění podmínek pro vydání osvědčení podnikatele podle § 96 odst. 2 písm. c) zákona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(1) Podnikatel, který je právnickou osobou, k žádosti podnikatele přiloží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a) doklady o rozhodnutích jeho orgánů o skutečnostech, které se zapisují do obchodního rejstříku a nejsou v něm dosud zapsány,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b) smlouvu o tichém společenství u podnikatele,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c) doklad o vydání dluhopisů s uvedením důvodu vydání a celkové výše vydaných dluhopisů,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d) smlouvy o nájmu prostor, budov a pozemků uvedených v § 97 písm. d) zákona,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e) řádné účetní závěrky za posledních 5 let,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f) ovládací smlouvu nebo písemnou zprávu o vztazích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, pokud je podnikatel ovládanou osobou, za posledních 5 let,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g) písemné zprávy auditora o ověření řádných účetních závěrek za posledních 5 let v rozsahu výroku auditora, pokud tak stanoví jiný právní předpis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h) přehled závazků z podnikatelské činnosti, které jsou po lhůtě splatnosti více než 180 dnů, s uvedením jednotlivých věřitelů a důvodu nezaplacení,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i) výpis z účtu vlastníka v centrální evidenci investičních nástrojů,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j) přehled všech účastí na akciových společnostech a majetkového podílu v procentech,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k) přehled ostatních investičních cenných papírů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3)</w:t>
      </w:r>
      <w:r>
        <w:rPr>
          <w:rFonts w:cs="Times New Roman" w:ascii="Times New Roman" w:hAnsi="Times New Roman"/>
          <w:sz w:val="24"/>
          <w:szCs w:val="24"/>
        </w:rPr>
        <w:t xml:space="preserve"> za předpokladu, že nejsou v centrální evidenci, podílů a vkladů do základního kapitálu veřejné obchodní společnosti, komanditní společnosti a společnosti s ručením omezeným a členských vkladů v družstvech.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(2) Podnikající fyzická osoba k žádosti podnikatele přiloží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a) smlouvy o nájmu prostor, budov a pozemků uvedených v § 97 písm. d) zákona,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b) řádné účetní závěrky, vede-li účetnictví, nebo daňová přiznání, pokud vede daňovou evidenci podle zákona o daních z příjmů, a to za posledních 5 let,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c) písemné zprávy auditora o ověření řádných účetních závěrek za posledních 5 let v rozsahu výroku auditora, pokud tak stanoví jiný právní předpis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d) přehled závazků z podnikatelské činnosti, které jsou po lhůtě splatnosti více než 180 dnů, s uvedením jednotlivých věřitelů a důvodu nezaplacení,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e) výpis z účtu vlastníka v centrální evidenci investičních nástrojů,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f) přehled všech účastí na akciových společnostech a majetkového podílu v procentech,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g) přehled ostatních investičních cenných papírů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3)</w:t>
      </w:r>
      <w:r>
        <w:rPr>
          <w:rFonts w:cs="Times New Roman" w:ascii="Times New Roman" w:hAnsi="Times New Roman"/>
          <w:sz w:val="24"/>
          <w:szCs w:val="24"/>
        </w:rPr>
        <w:t xml:space="preserve"> za předpokladu, že nejsou v centrální evidenci, podílů a vkladů do základního kapitálu veřejné obchodní společnosti, komanditní společnosti a společnosti s ručením omezeným a členských vkladů v družstvech.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(3) Písemnosti uvedené v odstavci 1 písm. h) až k) a v odstavci 2 písm. d) až g) nesmí být starší 60 dnů od data vystavení a podnikatel je předkládá v originále nebo v úředně ověřené kopii.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(4) Přehledy podle odstavce 1 písm. h), j) a k) a odstavce 2 písm. d), f) a g) musí být datovány a podepsány odpovědnou osobou.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(5) Písemnosti uvedené v odstavci 1 písm. a) až g) a v odstavci 2 písm. a) až c) podnikatel může předložit v kopii, na které odpovědná osoba svým podpisem potvrdí úplnost uvedených údajů a shodu kopie s originálem.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(6) Zahraniční osoba, která je podnikatelem podle jiného právního předpisu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4)</w:t>
      </w:r>
      <w:r>
        <w:rPr>
          <w:rFonts w:cs="Times New Roman" w:ascii="Times New Roman" w:hAnsi="Times New Roman"/>
          <w:sz w:val="24"/>
          <w:szCs w:val="24"/>
        </w:rPr>
        <w:t xml:space="preserve">, doloží písemnosti uvedené v odstavci 1 nebo 2 formou obdobných dokladů z příslušných evidencí podle země původu.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(7) Způsob a forma podání písemností uvedených v odstavcích 1 a 2 jsou stanoveny v § 5 odst. 3.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4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Žádost podnikatele podle § 96 odst. 4 a 5 zákona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K žádosti podnikatele podané podle § 96 odst. 4 a 5 zákona podnikatel přiloží dotazník podnikatele, ve kterém vyplní identifikační údaje v rozsahu název nebo obchodní firma a identifikační číslo osoby, a uvede údaje, které se změnily a nebyly oznámeny podle § 68 písm. c) a d) zákona; změny podnikatel dokládá písemnostmi uvedenými v § 3 a způsobem a formou stanovenou v § 5.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5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Způsob a forma podání žádosti podnikatele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(1) Žádost podnikatele a prohlášení o zproštění povinnosti mlčenlivosti se podávají v listinné podobě nebo dodáním do datové schránky Národního bezpečnostního úřadu anebo v elektronické podobě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5)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(2) Dotazník podnikatele se podává v listinné podobě a dodáním do datové schránky Národního bezpečnostního úřadu nebo v elektronické podobě ve formátu stanoveném na internetových stránkách Národního bezpečnostního úřadu. Podání v elektronické podobě lze učinit i na technickém nosiči dat.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(3) Písemnosti uvedené v § 3 lze podat v listinné podobě nebo dodáním do datové schránky Národního bezpečnostního úřadu anebo v elektronické podobě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5)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(4) Elektronické šablony vzorů uvedených v přílohách č. 1, 3 až 7 k této vyhlášce zveřejňuje Národní bezpečnostní úřad na svých internetových stránkách.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(5) Vzhled listinné podoby vyplněného dotazníku podnikatele musí odpovídat vzhledu zobrazení v elektronické podobě.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6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Rozsah oznamování změn v žádosti podnikatele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(1) Změny údajů v žádosti podnikatele podle § 103 odst. 2 zákona je podnikatel povinen oznamovat ode dne podání žádosti.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(2) Změny údajů v žádosti podnikatele podle § 68 písm. c) zákona je podnikatel povinen oznamovat po dobu platnosti osvědčení podnikatele.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(3) Změny údajů v žádosti podnikatele podle § 68 písm. d) zákona je podnikatel po dobu platnosti osvědčení povinen oznamovat jedenkrát za kalendářní rok, a to ke dni, který se datem shoduje se dnem vydání osvědčení. Podnikatel není povinen oznamovat změny údajů v dotazníku podnikatele podle § 97 písm. c), j) až l).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(4) V případě změn v bezpečnostní dokumentaci oznamuje podnikatel změny pouze v části, která se změnila. V případě oznamování změn podle odstavce 2 oznamuje podnikatel změny pouze v tom druhu zajištění ochrany utajovaných informací, u kterého nastala změna.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7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Způsob a forma podání oznámení změn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(1) Změny údajů v dotazníku podnikatele oznamuje podnikatel prostřednictvím dotazníku podnikatele a doloží je písemnostmi uvedenými v § 3. Pokud nastala změna v údaji podle § 97 písm. e) zákona, neoznamuje ji podnikatel prostřednictvím dotazníku podnikatele, ale pouze ji doloží písemnostmi uvedenými v § 3. V případě oznamování změn podle § 68 písm. c) zákona doloží podnikatel, který je právnickou osobou, změny písemnostmi v rozsahu § 3 odst. 1 písm. a) a b).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(2) Pro oznámení změn podle § 6 se použije ustanovení § 3 odst. 3 až 7 a § 5 odst. 2 a 3 obdobně.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(3) Pokud je podnikatel držitelem více osvědčení podnikatele, oznámí změny pouze v jednom vyhotovení. V dotazníku podnikatele uvede všechny stupně utajení a formy přístupu.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8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Bezpečnostní instrukce podle § 75a odst. 4 zákona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(1) Bezpečnostní instrukce obsahuje zejména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a) označení ústředního správního úřadu, který schvaluje bezpečnostní instrukci,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b) pravidla a způsob kontroly utajovaných informací,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c) podmínky ochrany utajovaných informací a omezení přístupu k utajované informaci stupně utajení Přísně tajné,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d) seznam poskytovaných utajovaných informací a specifikaci utajovaných informací, které budou vznikat v rámci plnění smlouvy, včetně jejich stupně utajení,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e) pravidla styku smluvních stran, vyžadujících si přístup k utajované informaci,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f) pravidla stanovení stupně utajení utajovaných informací vznikajících v rámci smlouvy,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g) způsob a formu poskytování a přepravy utajované informace,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h) pravidla oznamování případů vyzrazení, zneužití nebo ztráty utajované informace, nebo vyskytne-li se podezření z takového jednání,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i) pravidla pro návštěvy vyžadující přístup k utajované informaci,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j) pravidla nakládání s utajovanou informací po ukončení smlouvy a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k) pravidla komunikace smluvních stran.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(2) Přílohou bezpečnostní instrukce je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a) u hlavní smlouvy Směrnice pro přidělování stupňů utajení v rámci projektu,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b) u subdodavatelských smluv Seznam stupňů utajení.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9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Zrušovací ustanovení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Zrušuje se: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1. Vyhláška č. 526/2005 Sb., o stanovení vzorů používaných v oblasti průmyslové bezpečnosti a o seznamech písemností a jejich náležitostech nutných k ověření splnění podmínek pro vydání osvědčení podnikatele a o způsobu podání žádosti podnikatele (vyhláška o průmyslové bezpečnosti).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2. Vyhláška č. 11/2008 Sb., kterou se mění vyhláška č. 526/2005 Sb., o stanovení vzorů používaných v oblasti průmyslové bezpečnosti a o seznamech písemností a jejich náležitostech nutných k ověření splnění podmínek pro vydání osvědčení podnikatele a o způsobu podání žádosti podnikatele (vyhláška o průmyslové bezpečnosti).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§ 10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Účinnost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Tato vyhláška nabývá účinnosti dnem 1. ledna 2012.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Ředitel: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Ing. Navrátil v. r. </w:t>
      </w:r>
      <w:r/>
    </w:p>
    <w:p>
      <w:pPr>
        <w:pStyle w:val="Normal"/>
        <w:widowControl w:val="false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</w:t>
      </w:r>
      <w:r/>
    </w:p>
    <w:p>
      <w:pPr>
        <w:pStyle w:val="Normal"/>
        <w:widowControl w:val="false"/>
        <w:spacing w:lineRule="auto" w:line="240"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1) § 66a obchodního zákoníku. </w:t>
      </w:r>
      <w:r/>
    </w:p>
    <w:p>
      <w:pPr>
        <w:pStyle w:val="Normal"/>
        <w:widowControl w:val="false"/>
        <w:spacing w:lineRule="auto" w:line="240"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2) Zákon č. 563/1991 Sb., o účetnictví, ve znění pozdějších předpisů. </w:t>
      </w:r>
      <w:r/>
    </w:p>
    <w:p>
      <w:pPr>
        <w:pStyle w:val="Normal"/>
        <w:widowControl w:val="false"/>
        <w:spacing w:lineRule="auto" w:line="240"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3) Zákon č. 591/1992 Sb., o cenných papírech, ve znění pozdějších předpisů. </w:t>
      </w:r>
      <w:r/>
    </w:p>
    <w:p>
      <w:pPr>
        <w:pStyle w:val="Normal"/>
        <w:widowControl w:val="false"/>
        <w:spacing w:lineRule="auto" w:line="240"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4) Obchodní zákoník. </w:t>
      </w:r>
      <w:r/>
    </w:p>
    <w:p>
      <w:pPr>
        <w:pStyle w:val="Normal"/>
        <w:widowControl w:val="false"/>
        <w:spacing w:lineRule="auto" w:line="240"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5) § 89 odst. 8 zákona č. 412/2005 Sb., o ochraně utajovaných informací a o bezpečnostní způsobilosti, ve znění zákona č. 255/2011 Sb.</w:t>
      </w:r>
      <w:r/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  <w:r/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ohit Devanagari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LibreOffice/4.3.4.1$Linux_x86 LibreOffice_project/bc356b2f991740509f321d70e4512a6a54c5f243</Application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2017-10-24T08:15:00Z</dcterms:created>
  <dc:creator>Holečková Martina</dc:creator>
  <dc:language>cs-CZ</dc:language>
  <dcterms:modified xsi:type="dcterms:W3CDTF">2017-10-27T08:57:41Z</dcterms:modified>
  <cp:revision>4</cp:revision>
</cp:coreProperties>
</file>