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63" w:rsidRPr="00A04A63" w:rsidRDefault="00A04A63" w:rsidP="00A04A63">
      <w:pPr>
        <w:spacing w:after="0" w:line="480" w:lineRule="auto"/>
        <w:ind w:left="180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bookmarkStart w:id="0" w:name="_GoBack"/>
      <w:bookmarkEnd w:id="0"/>
      <w:r w:rsidRPr="00A04A63">
        <w:rPr>
          <w:rFonts w:eastAsia="Times New Roman" w:cstheme="minorHAnsi"/>
          <w:b/>
          <w:sz w:val="28"/>
          <w:szCs w:val="28"/>
          <w:lang w:eastAsia="cs-CZ"/>
        </w:rPr>
        <w:t>Vzor</w:t>
      </w:r>
    </w:p>
    <w:p w:rsidR="00A04A63" w:rsidRPr="00A04A63" w:rsidRDefault="00A04A63" w:rsidP="00A04A63">
      <w:pPr>
        <w:spacing w:after="0" w:line="360" w:lineRule="auto"/>
        <w:ind w:left="181"/>
        <w:jc w:val="center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 xml:space="preserve">Označení orgánu státu, podnikatele nebo právnické osoby podle § 60b zákona č. 412/2005 Sb. (uvede se název a sídlo) </w:t>
      </w:r>
    </w:p>
    <w:p w:rsidR="00A04A63" w:rsidRPr="00A04A63" w:rsidRDefault="00A04A63" w:rsidP="00A04A63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keepNext/>
        <w:spacing w:after="0" w:line="360" w:lineRule="auto"/>
        <w:ind w:left="181"/>
        <w:jc w:val="center"/>
        <w:outlineLvl w:val="6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:rsidR="00A04A63" w:rsidRPr="00A04A63" w:rsidRDefault="00A04A63" w:rsidP="00A04A63">
      <w:pPr>
        <w:keepNext/>
        <w:spacing w:after="0" w:line="360" w:lineRule="auto"/>
        <w:ind w:left="181"/>
        <w:jc w:val="center"/>
        <w:outlineLvl w:val="6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A04A63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P O U Č E N Í </w:t>
      </w:r>
    </w:p>
    <w:p w:rsidR="00A04A63" w:rsidRPr="00A04A63" w:rsidRDefault="00A04A63" w:rsidP="00A04A63">
      <w:pPr>
        <w:spacing w:after="0" w:line="240" w:lineRule="auto"/>
        <w:ind w:left="181"/>
        <w:jc w:val="center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1"/>
        <w:jc w:val="center"/>
        <w:rPr>
          <w:rFonts w:eastAsia="Times New Roman" w:cstheme="minorHAnsi"/>
          <w:b/>
          <w:sz w:val="24"/>
          <w:szCs w:val="20"/>
          <w:lang w:eastAsia="cs-CZ"/>
        </w:rPr>
      </w:pPr>
      <w:r w:rsidRPr="00A04A63">
        <w:rPr>
          <w:rFonts w:eastAsia="Times New Roman" w:cstheme="minorHAnsi"/>
          <w:b/>
          <w:sz w:val="24"/>
          <w:szCs w:val="20"/>
          <w:lang w:eastAsia="cs-CZ"/>
        </w:rPr>
        <w:t xml:space="preserve">Podle § </w:t>
      </w:r>
      <w:r>
        <w:rPr>
          <w:rFonts w:eastAsia="Times New Roman" w:cstheme="minorHAnsi"/>
          <w:b/>
          <w:sz w:val="24"/>
          <w:szCs w:val="20"/>
          <w:lang w:eastAsia="cs-CZ"/>
        </w:rPr>
        <w:t>60</w:t>
      </w:r>
      <w:r w:rsidRPr="00A04A63">
        <w:rPr>
          <w:rFonts w:eastAsia="Times New Roman" w:cstheme="minorHAnsi"/>
          <w:b/>
          <w:sz w:val="24"/>
          <w:szCs w:val="20"/>
          <w:lang w:eastAsia="cs-CZ"/>
        </w:rPr>
        <w:t xml:space="preserve"> odst. </w:t>
      </w:r>
      <w:r>
        <w:rPr>
          <w:rFonts w:eastAsia="Times New Roman" w:cstheme="minorHAnsi"/>
          <w:b/>
          <w:sz w:val="24"/>
          <w:szCs w:val="20"/>
          <w:lang w:eastAsia="cs-CZ"/>
        </w:rPr>
        <w:t>3</w:t>
      </w:r>
      <w:r w:rsidRPr="00A04A63">
        <w:rPr>
          <w:rFonts w:eastAsia="Times New Roman" w:cstheme="minorHAnsi"/>
          <w:b/>
          <w:sz w:val="24"/>
          <w:szCs w:val="20"/>
          <w:lang w:eastAsia="cs-CZ"/>
        </w:rPr>
        <w:t xml:space="preserve"> zákona č. 412/2005 Sb., o ochraně utajovaných informací a o bezpečnostní způsobilosti</w:t>
      </w:r>
    </w:p>
    <w:p w:rsidR="00A04A63" w:rsidRPr="00A04A63" w:rsidRDefault="00A04A63" w:rsidP="00A04A63">
      <w:pPr>
        <w:spacing w:after="0" w:line="240" w:lineRule="auto"/>
        <w:ind w:left="181"/>
        <w:jc w:val="center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autoSpaceDE w:val="0"/>
        <w:spacing w:after="0" w:line="240" w:lineRule="auto"/>
        <w:jc w:val="center"/>
        <w:rPr>
          <w:rFonts w:eastAsia="CAAAAA+Arial-BoldMT" w:cstheme="minorHAnsi"/>
          <w:i/>
          <w:sz w:val="20"/>
          <w:szCs w:val="20"/>
          <w:u w:val="single"/>
          <w:lang w:eastAsia="cs-CZ"/>
        </w:rPr>
      </w:pPr>
      <w:r w:rsidRPr="00A04A63">
        <w:rPr>
          <w:rFonts w:eastAsia="CAAAAA+Arial-BoldMT" w:cstheme="minorHAnsi"/>
          <w:i/>
          <w:sz w:val="20"/>
          <w:szCs w:val="20"/>
          <w:u w:val="single"/>
          <w:lang w:eastAsia="cs-CZ"/>
        </w:rPr>
        <w:t>BRIEFING</w:t>
      </w:r>
    </w:p>
    <w:p w:rsidR="00A04A63" w:rsidRPr="00A04A63" w:rsidRDefault="00A04A63" w:rsidP="00A04A63">
      <w:pPr>
        <w:autoSpaceDE w:val="0"/>
        <w:spacing w:after="0" w:line="240" w:lineRule="auto"/>
        <w:jc w:val="center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According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to § </w:t>
      </w:r>
      <w:r>
        <w:rPr>
          <w:rFonts w:eastAsia="BAAAAA+ArialMT" w:cstheme="minorHAnsi"/>
          <w:i/>
          <w:sz w:val="20"/>
          <w:szCs w:val="20"/>
          <w:lang w:eastAsia="cs-CZ"/>
        </w:rPr>
        <w:t>60</w:t>
      </w:r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par. </w:t>
      </w:r>
      <w:r>
        <w:rPr>
          <w:rFonts w:eastAsia="BAAAAA+ArialMT" w:cstheme="minorHAnsi"/>
          <w:i/>
          <w:sz w:val="20"/>
          <w:szCs w:val="20"/>
          <w:lang w:eastAsia="cs-CZ"/>
        </w:rPr>
        <w:t>3</w:t>
      </w:r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N. 412/2005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Coll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., 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</w:p>
    <w:p w:rsidR="00A04A63" w:rsidRPr="00A04A63" w:rsidRDefault="00A04A63" w:rsidP="00A04A63">
      <w:pPr>
        <w:autoSpaceDE w:val="0"/>
        <w:spacing w:after="0" w:line="240" w:lineRule="auto"/>
        <w:jc w:val="center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protection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classified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information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and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security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eligibility</w:t>
      </w:r>
      <w:proofErr w:type="spellEnd"/>
    </w:p>
    <w:p w:rsidR="00A04A63" w:rsidRPr="00A04A63" w:rsidRDefault="00A04A63" w:rsidP="00A04A63">
      <w:pPr>
        <w:spacing w:after="0" w:line="240" w:lineRule="auto"/>
        <w:ind w:left="181"/>
        <w:jc w:val="center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Níže uvedená osoba byla seznámena se svými právy a povinnostmi v oblasti ochrany utajovaných informací. Byla seznámena s obsahem zákona č. 412/2005 Sb., o ochraně utajovaných informací a o bezpečnostní způsobilosti, ve znění pozdějších předpisů (dále jen „zákon“), a s obsahem prováděcích právních předpisů. Byla seznámena s povinnostmi, které jsou stanoveny v § 65 zákona, zejména s povinností:</w:t>
      </w: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autoSpaceDE w:val="0"/>
        <w:spacing w:after="0" w:line="240" w:lineRule="auto"/>
        <w:jc w:val="both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person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named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below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has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briefed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on his/her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rights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and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duties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in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area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protection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classified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information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. He/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has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acquainted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with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content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N. 412/2005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Coll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., 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protection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classified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information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and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security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eligibility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(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hereinafter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“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“), and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with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content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implementing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legal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regulations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. He/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has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acquainted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with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duties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laid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down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in § 65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, in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particular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with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following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:</w:t>
      </w:r>
    </w:p>
    <w:p w:rsidR="00A04A63" w:rsidRPr="00A04A63" w:rsidRDefault="00A04A63" w:rsidP="00A04A63">
      <w:pPr>
        <w:spacing w:after="0" w:line="240" w:lineRule="auto"/>
        <w:ind w:left="181"/>
        <w:jc w:val="both"/>
        <w:rPr>
          <w:rFonts w:eastAsia="Times New Roman" w:cstheme="minorHAnsi"/>
          <w:b/>
          <w:sz w:val="24"/>
          <w:szCs w:val="20"/>
          <w:lang w:eastAsia="cs-CZ"/>
        </w:rPr>
      </w:pPr>
    </w:p>
    <w:p w:rsidR="00A04A63" w:rsidRPr="00A04A63" w:rsidRDefault="00A04A63" w:rsidP="00A04A6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dodržovat stanovené povinnosti při ochraně utajovaných informací,</w:t>
      </w:r>
    </w:p>
    <w:p w:rsidR="00A04A63" w:rsidRPr="00A04A63" w:rsidRDefault="00A04A63" w:rsidP="00A04A63">
      <w:pPr>
        <w:autoSpaceDE w:val="0"/>
        <w:spacing w:after="0" w:line="240" w:lineRule="auto"/>
        <w:ind w:left="181"/>
        <w:jc w:val="both"/>
        <w:rPr>
          <w:rFonts w:eastAsia="BAAAAA+ArialMT" w:cstheme="minorHAnsi"/>
          <w:i/>
          <w:sz w:val="20"/>
          <w:szCs w:val="20"/>
          <w:lang w:eastAsia="cs-CZ"/>
        </w:rPr>
      </w:pPr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a)     to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comply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with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imposed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obligations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in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protecting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classified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information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;</w:t>
      </w:r>
    </w:p>
    <w:p w:rsidR="00A04A63" w:rsidRPr="00A04A63" w:rsidRDefault="00A04A63" w:rsidP="00A04A63">
      <w:pPr>
        <w:spacing w:after="0" w:line="240" w:lineRule="auto"/>
        <w:ind w:left="541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zachovávat mlčenlivost o utajované informaci, k níž má nebo měla přístup, pokud není této povinnosti oprávněným orgánem zproštěna,</w:t>
      </w:r>
    </w:p>
    <w:p w:rsidR="00A04A63" w:rsidRPr="00A04A63" w:rsidRDefault="00A04A63" w:rsidP="00A04A63">
      <w:pPr>
        <w:autoSpaceDE w:val="0"/>
        <w:spacing w:after="0" w:line="240" w:lineRule="auto"/>
        <w:ind w:left="181"/>
        <w:jc w:val="both"/>
        <w:rPr>
          <w:rFonts w:eastAsia="BAAAAA+ArialMT" w:cstheme="minorHAnsi"/>
          <w:i/>
          <w:sz w:val="20"/>
          <w:szCs w:val="20"/>
          <w:lang w:eastAsia="cs-CZ"/>
        </w:rPr>
      </w:pPr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b)    to hold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classified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information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in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confidence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, to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which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he/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has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access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,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unless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he/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has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released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from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this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duty by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responsible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authority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;</w:t>
      </w:r>
    </w:p>
    <w:p w:rsidR="00A04A63" w:rsidRPr="00A04A63" w:rsidRDefault="00A04A63" w:rsidP="00A04A63">
      <w:pPr>
        <w:spacing w:after="0" w:line="240" w:lineRule="auto"/>
        <w:ind w:left="541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neumožnit přístup k utajované informaci neoprávněné osobě.</w:t>
      </w:r>
    </w:p>
    <w:p w:rsidR="00A04A63" w:rsidRPr="00A04A63" w:rsidRDefault="00A04A63" w:rsidP="00A04A63">
      <w:pPr>
        <w:autoSpaceDE w:val="0"/>
        <w:spacing w:after="0" w:line="240" w:lineRule="auto"/>
        <w:ind w:left="181"/>
        <w:jc w:val="both"/>
        <w:rPr>
          <w:rFonts w:eastAsia="BAAAAA+ArialMT" w:cstheme="minorHAnsi"/>
          <w:i/>
          <w:sz w:val="20"/>
          <w:szCs w:val="20"/>
          <w:lang w:eastAsia="cs-CZ"/>
        </w:rPr>
      </w:pPr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c)    to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prevent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access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by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unauthorized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persons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to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classified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information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.</w:t>
      </w: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Dále byla obecně seznámena se všemi následky porušení povinností stanovených zákonem, zejména s přestupkovou a trestněprávní odpovědností.</w:t>
      </w: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autoSpaceDE w:val="0"/>
        <w:spacing w:after="0" w:line="240" w:lineRule="auto"/>
        <w:jc w:val="both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Further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he/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has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briefed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all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consequences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arising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from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breach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duties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imposed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by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Act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, in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particular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danger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criminal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prosecution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imposing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sanction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for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committing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administrative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infraction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.</w:t>
      </w:r>
    </w:p>
    <w:p w:rsid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br w:type="page"/>
      </w:r>
      <w:r w:rsidRPr="00A04A63">
        <w:rPr>
          <w:rFonts w:eastAsia="Times New Roman" w:cstheme="minorHAnsi"/>
          <w:sz w:val="24"/>
          <w:szCs w:val="20"/>
          <w:lang w:eastAsia="cs-CZ"/>
        </w:rPr>
        <w:lastRenderedPageBreak/>
        <w:t xml:space="preserve">Níže uvedená osoba </w:t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b/>
          <w:bCs/>
          <w:sz w:val="24"/>
          <w:szCs w:val="20"/>
          <w:lang w:eastAsia="cs-CZ"/>
        </w:rPr>
        <w:t>byla – nebyla</w:t>
      </w:r>
      <w:r w:rsidRPr="00A04A63">
        <w:rPr>
          <w:rFonts w:eastAsia="Times New Roman" w:cstheme="minorHAnsi"/>
          <w:sz w:val="24"/>
          <w:szCs w:val="20"/>
          <w:vertAlign w:val="superscript"/>
          <w:lang w:eastAsia="cs-CZ"/>
        </w:rPr>
        <w:sym w:font="Symbol" w:char="002A"/>
      </w:r>
      <w:r w:rsidRPr="00A04A63">
        <w:rPr>
          <w:rFonts w:eastAsia="Times New Roman" w:cstheme="minorHAnsi"/>
          <w:sz w:val="24"/>
          <w:szCs w:val="20"/>
          <w:lang w:eastAsia="cs-CZ"/>
        </w:rPr>
        <w:t xml:space="preserve">  seznámena s předpisy NATO</w:t>
      </w:r>
      <w:r w:rsidR="00ED5E2B">
        <w:rPr>
          <w:rFonts w:eastAsia="Times New Roman" w:cstheme="minorHAnsi"/>
          <w:sz w:val="24"/>
          <w:szCs w:val="20"/>
          <w:lang w:eastAsia="cs-CZ"/>
        </w:rPr>
        <w:t>, které jsou přístupné na</w:t>
      </w:r>
      <w:r w:rsidR="00ED5E2B" w:rsidRPr="00ED5E2B">
        <w:rPr>
          <w:rFonts w:eastAsia="Times New Roman" w:cstheme="minorHAnsi"/>
          <w:noProof/>
          <w:sz w:val="24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159C98AD">
            <wp:simplePos x="0" y="0"/>
            <wp:positionH relativeFrom="column">
              <wp:posOffset>5485765</wp:posOffset>
            </wp:positionH>
            <wp:positionV relativeFrom="paragraph">
              <wp:posOffset>212725</wp:posOffset>
            </wp:positionV>
            <wp:extent cx="586740" cy="586740"/>
            <wp:effectExtent l="0" t="0" r="381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879">
        <w:rPr>
          <w:rFonts w:eastAsia="Times New Roman" w:cstheme="minorHAnsi"/>
          <w:sz w:val="24"/>
          <w:szCs w:val="20"/>
          <w:lang w:eastAsia="cs-CZ"/>
        </w:rPr>
        <w:t xml:space="preserve"> </w:t>
      </w:r>
      <w:hyperlink r:id="rId6" w:history="1">
        <w:r w:rsidR="00754879" w:rsidRPr="000A7FAF">
          <w:rPr>
            <w:rStyle w:val="Hypertextovodkaz"/>
            <w:rFonts w:eastAsia="Times New Roman" w:cstheme="minorHAnsi"/>
            <w:sz w:val="24"/>
            <w:szCs w:val="20"/>
            <w:lang w:eastAsia="cs-CZ"/>
          </w:rPr>
          <w:t>https://www.nbu.cz/cs/pravni-predpisy/1078-predpisy-nato-vztahujici-se-k-ochrane-utajovanych-informaci/</w:t>
        </w:r>
      </w:hyperlink>
    </w:p>
    <w:p w:rsidR="00ED5E2B" w:rsidRPr="00A04A63" w:rsidRDefault="00ED5E2B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ED5E2B" w:rsidRDefault="00ED5E2B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ED5E2B">
        <w:rPr>
          <w:rFonts w:eastAsia="Times New Roman" w:cstheme="minorHAnsi"/>
          <w:noProof/>
          <w:sz w:val="24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D3A3882">
            <wp:simplePos x="0" y="0"/>
            <wp:positionH relativeFrom="column">
              <wp:posOffset>5455285</wp:posOffset>
            </wp:positionH>
            <wp:positionV relativeFrom="paragraph">
              <wp:posOffset>298450</wp:posOffset>
            </wp:positionV>
            <wp:extent cx="605790" cy="605790"/>
            <wp:effectExtent l="0" t="0" r="381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A63" w:rsidRPr="00A04A63">
        <w:rPr>
          <w:rFonts w:eastAsia="Times New Roman" w:cstheme="minorHAnsi"/>
          <w:sz w:val="24"/>
          <w:szCs w:val="20"/>
          <w:lang w:eastAsia="cs-CZ"/>
        </w:rPr>
        <w:t xml:space="preserve">                                   </w:t>
      </w:r>
      <w:r w:rsidR="00A04A63">
        <w:rPr>
          <w:rFonts w:eastAsia="Times New Roman" w:cstheme="minorHAnsi"/>
          <w:sz w:val="24"/>
          <w:szCs w:val="20"/>
          <w:lang w:eastAsia="cs-CZ"/>
        </w:rPr>
        <w:tab/>
      </w:r>
      <w:r w:rsidR="00A04A63" w:rsidRPr="00A04A63">
        <w:rPr>
          <w:rFonts w:eastAsia="Times New Roman" w:cstheme="minorHAnsi"/>
          <w:b/>
          <w:bCs/>
          <w:sz w:val="24"/>
          <w:szCs w:val="20"/>
          <w:lang w:eastAsia="cs-CZ"/>
        </w:rPr>
        <w:t>byla – nebyla</w:t>
      </w:r>
      <w:r w:rsidR="00A04A63" w:rsidRPr="00A04A63">
        <w:rPr>
          <w:rFonts w:eastAsia="Times New Roman" w:cstheme="minorHAnsi"/>
          <w:sz w:val="24"/>
          <w:szCs w:val="20"/>
          <w:vertAlign w:val="superscript"/>
          <w:lang w:eastAsia="cs-CZ"/>
        </w:rPr>
        <w:sym w:font="Symbol" w:char="002A"/>
      </w:r>
      <w:r w:rsidR="00754879">
        <w:rPr>
          <w:rFonts w:eastAsia="Times New Roman" w:cstheme="minorHAnsi"/>
          <w:sz w:val="24"/>
          <w:szCs w:val="20"/>
          <w:lang w:eastAsia="cs-CZ"/>
        </w:rPr>
        <w:t xml:space="preserve"> </w:t>
      </w:r>
      <w:r w:rsidR="00A04A63" w:rsidRPr="00A04A63">
        <w:rPr>
          <w:rFonts w:eastAsia="Times New Roman" w:cstheme="minorHAnsi"/>
          <w:sz w:val="24"/>
          <w:szCs w:val="20"/>
          <w:lang w:eastAsia="cs-CZ"/>
        </w:rPr>
        <w:t>seznámena s předpisy EU</w:t>
      </w:r>
      <w:r>
        <w:rPr>
          <w:rFonts w:eastAsia="Times New Roman" w:cstheme="minorHAnsi"/>
          <w:sz w:val="24"/>
          <w:szCs w:val="20"/>
          <w:lang w:eastAsia="cs-CZ"/>
        </w:rPr>
        <w:t xml:space="preserve">, které jsou přístupné na </w:t>
      </w:r>
      <w:hyperlink r:id="rId8" w:history="1">
        <w:r w:rsidRPr="000A7FAF">
          <w:rPr>
            <w:rStyle w:val="Hypertextovodkaz"/>
            <w:rFonts w:eastAsia="Times New Roman" w:cstheme="minorHAnsi"/>
            <w:sz w:val="24"/>
            <w:szCs w:val="20"/>
            <w:lang w:eastAsia="cs-CZ"/>
          </w:rPr>
          <w:t>https://www.nbu.cz/cs/pravni-predpisy/1077-predpisy-eu-vztahujici-se-k-ochrane-utajovanych-informaci/</w:t>
        </w:r>
      </w:hyperlink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cs-CZ"/>
        </w:rPr>
      </w:pPr>
      <w:r w:rsidRPr="00A04A63">
        <w:rPr>
          <w:rFonts w:eastAsia="Times New Roman" w:cstheme="minorHAnsi"/>
          <w:b/>
          <w:bCs/>
          <w:sz w:val="24"/>
          <w:szCs w:val="20"/>
          <w:lang w:eastAsia="cs-CZ"/>
        </w:rPr>
        <w:t xml:space="preserve"> </w:t>
      </w:r>
    </w:p>
    <w:p w:rsidR="00ED5E2B" w:rsidRDefault="00ED5E2B" w:rsidP="00ED5E2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cs-CZ"/>
        </w:rPr>
      </w:pPr>
    </w:p>
    <w:p w:rsidR="00A04A63" w:rsidRPr="00ED5E2B" w:rsidRDefault="00A04A63" w:rsidP="00ED5E2B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b/>
          <w:bCs/>
          <w:sz w:val="24"/>
          <w:szCs w:val="20"/>
          <w:lang w:eastAsia="cs-CZ"/>
        </w:rPr>
        <w:t xml:space="preserve">                             </w:t>
      </w:r>
    </w:p>
    <w:p w:rsidR="00A04A63" w:rsidRPr="00A04A63" w:rsidRDefault="00A04A63" w:rsidP="00A04A63">
      <w:pPr>
        <w:autoSpaceDE w:val="0"/>
        <w:spacing w:after="0" w:line="240" w:lineRule="auto"/>
        <w:jc w:val="both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person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named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below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>:</w:t>
      </w:r>
    </w:p>
    <w:p w:rsidR="00754879" w:rsidRPr="00754879" w:rsidRDefault="00A04A63" w:rsidP="00754879">
      <w:pPr>
        <w:pStyle w:val="FormtovanvHTML"/>
        <w:shd w:val="clear" w:color="auto" w:fill="F8F9FA"/>
        <w:spacing w:line="0" w:lineRule="atLeast"/>
        <w:rPr>
          <w:rFonts w:asciiTheme="minorHAnsi" w:hAnsiTheme="minorHAnsi" w:cstheme="minorHAnsi"/>
          <w:i/>
          <w:color w:val="1F1F1F"/>
        </w:rPr>
      </w:pPr>
      <w:r w:rsidRPr="00A04A63">
        <w:rPr>
          <w:rFonts w:asciiTheme="minorHAnsi" w:eastAsia="CAAAAA+Arial-BoldMT" w:hAnsiTheme="minorHAnsi" w:cstheme="minorHAnsi"/>
          <w:b/>
          <w:bCs/>
          <w:i/>
        </w:rPr>
        <w:t xml:space="preserve">has </w:t>
      </w:r>
      <w:proofErr w:type="spellStart"/>
      <w:r w:rsidRPr="00A04A63">
        <w:rPr>
          <w:rFonts w:asciiTheme="minorHAnsi" w:eastAsia="CAAAAA+Arial-BoldMT" w:hAnsiTheme="minorHAnsi" w:cstheme="minorHAnsi"/>
          <w:b/>
          <w:bCs/>
          <w:i/>
        </w:rPr>
        <w:t>been</w:t>
      </w:r>
      <w:proofErr w:type="spellEnd"/>
      <w:r w:rsidRPr="00A04A63">
        <w:rPr>
          <w:rFonts w:asciiTheme="minorHAnsi" w:eastAsia="CAAAAA+Arial-BoldMT" w:hAnsiTheme="minorHAnsi" w:cstheme="minorHAnsi"/>
          <w:b/>
          <w:bCs/>
          <w:i/>
        </w:rPr>
        <w:t xml:space="preserve"> – has not </w:t>
      </w:r>
      <w:proofErr w:type="spellStart"/>
      <w:r w:rsidRPr="00A04A63">
        <w:rPr>
          <w:rFonts w:asciiTheme="minorHAnsi" w:eastAsia="CAAAAA+Arial-BoldMT" w:hAnsiTheme="minorHAnsi" w:cstheme="minorHAnsi"/>
          <w:b/>
          <w:bCs/>
          <w:i/>
        </w:rPr>
        <w:t>been</w:t>
      </w:r>
      <w:proofErr w:type="spellEnd"/>
      <w:r w:rsidRPr="00A04A63">
        <w:rPr>
          <w:rFonts w:asciiTheme="minorHAnsi" w:eastAsia="BAAAAA+ArialMT" w:hAnsiTheme="minorHAnsi" w:cstheme="minorHAnsi"/>
          <w:b/>
          <w:bCs/>
          <w:i/>
        </w:rPr>
        <w:t>*</w:t>
      </w:r>
      <w:r w:rsidRPr="00A04A63">
        <w:rPr>
          <w:rFonts w:asciiTheme="minorHAnsi" w:eastAsia="BAAAAA+ArialMT" w:hAnsiTheme="minorHAnsi" w:cstheme="minorHAnsi"/>
          <w:i/>
        </w:rPr>
        <w:t xml:space="preserve"> </w:t>
      </w:r>
      <w:proofErr w:type="spellStart"/>
      <w:r w:rsidRPr="00A04A63">
        <w:rPr>
          <w:rFonts w:asciiTheme="minorHAnsi" w:eastAsia="BAAAAA+ArialMT" w:hAnsiTheme="minorHAnsi" w:cstheme="minorHAnsi"/>
          <w:i/>
        </w:rPr>
        <w:t>briefed</w:t>
      </w:r>
      <w:proofErr w:type="spellEnd"/>
      <w:r w:rsidRPr="00A04A63">
        <w:rPr>
          <w:rFonts w:asciiTheme="minorHAnsi" w:eastAsia="BAAAAA+ArialMT" w:hAnsiTheme="minorHAnsi" w:cstheme="minorHAnsi"/>
          <w:i/>
        </w:rPr>
        <w:t xml:space="preserve"> on </w:t>
      </w:r>
      <w:proofErr w:type="spellStart"/>
      <w:r w:rsidRPr="00A04A63">
        <w:rPr>
          <w:rFonts w:asciiTheme="minorHAnsi" w:eastAsia="BAAAAA+ArialMT" w:hAnsiTheme="minorHAnsi" w:cstheme="minorHAnsi"/>
          <w:i/>
        </w:rPr>
        <w:t>the</w:t>
      </w:r>
      <w:proofErr w:type="spellEnd"/>
      <w:r w:rsidRPr="00A04A63">
        <w:rPr>
          <w:rFonts w:asciiTheme="minorHAnsi" w:eastAsia="BAAAAA+ArialMT" w:hAnsiTheme="minorHAnsi" w:cstheme="minorHAnsi"/>
          <w:i/>
        </w:rPr>
        <w:t xml:space="preserve"> </w:t>
      </w:r>
      <w:proofErr w:type="spellStart"/>
      <w:r w:rsidRPr="00A04A63">
        <w:rPr>
          <w:rFonts w:asciiTheme="minorHAnsi" w:eastAsia="BAAAAA+ArialMT" w:hAnsiTheme="minorHAnsi" w:cstheme="minorHAnsi"/>
          <w:i/>
        </w:rPr>
        <w:t>regulations</w:t>
      </w:r>
      <w:proofErr w:type="spellEnd"/>
      <w:r w:rsidRPr="00A04A63">
        <w:rPr>
          <w:rFonts w:asciiTheme="minorHAnsi" w:eastAsia="BAAAAA+ArialMT" w:hAnsiTheme="minorHAnsi" w:cstheme="minorHAnsi"/>
          <w:i/>
        </w:rPr>
        <w:t xml:space="preserve"> </w:t>
      </w:r>
      <w:proofErr w:type="spellStart"/>
      <w:r w:rsidRPr="00A04A63">
        <w:rPr>
          <w:rFonts w:asciiTheme="minorHAnsi" w:eastAsia="BAAAAA+ArialMT" w:hAnsiTheme="minorHAnsi" w:cstheme="minorHAnsi"/>
          <w:i/>
        </w:rPr>
        <w:t>of</w:t>
      </w:r>
      <w:proofErr w:type="spellEnd"/>
      <w:r w:rsidRPr="00A04A63">
        <w:rPr>
          <w:rFonts w:asciiTheme="minorHAnsi" w:eastAsia="BAAAAA+ArialMT" w:hAnsiTheme="minorHAnsi" w:cstheme="minorHAnsi"/>
          <w:i/>
        </w:rPr>
        <w:t xml:space="preserve"> </w:t>
      </w:r>
      <w:proofErr w:type="spellStart"/>
      <w:r w:rsidRPr="00A04A63">
        <w:rPr>
          <w:rFonts w:asciiTheme="minorHAnsi" w:eastAsia="BAAAAA+ArialMT" w:hAnsiTheme="minorHAnsi" w:cstheme="minorHAnsi"/>
          <w:i/>
        </w:rPr>
        <w:t>the</w:t>
      </w:r>
      <w:proofErr w:type="spellEnd"/>
      <w:r w:rsidRPr="00A04A63">
        <w:rPr>
          <w:rFonts w:asciiTheme="minorHAnsi" w:eastAsia="BAAAAA+ArialMT" w:hAnsiTheme="minorHAnsi" w:cstheme="minorHAnsi"/>
          <w:i/>
        </w:rPr>
        <w:t xml:space="preserve"> NATO</w:t>
      </w:r>
      <w:r w:rsidR="00754879" w:rsidRPr="00754879">
        <w:rPr>
          <w:rFonts w:asciiTheme="minorHAnsi" w:eastAsia="BAAAAA+ArialMT" w:hAnsiTheme="minorHAnsi" w:cstheme="minorHAnsi"/>
          <w:i/>
        </w:rPr>
        <w:t xml:space="preserve">, </w:t>
      </w:r>
      <w:r w:rsidR="00754879" w:rsidRPr="00754879">
        <w:rPr>
          <w:rFonts w:asciiTheme="minorHAnsi" w:hAnsiTheme="minorHAnsi" w:cstheme="minorHAnsi"/>
          <w:i/>
          <w:color w:val="1F1F1F"/>
          <w:lang w:val="en"/>
        </w:rPr>
        <w:t>which are accessible at</w:t>
      </w:r>
      <w:r w:rsidR="00754879">
        <w:rPr>
          <w:rFonts w:asciiTheme="minorHAnsi" w:hAnsiTheme="minorHAnsi" w:cstheme="minorHAnsi"/>
          <w:i/>
          <w:color w:val="1F1F1F"/>
          <w:lang w:val="en"/>
        </w:rPr>
        <w:t xml:space="preserve"> </w:t>
      </w:r>
      <w:hyperlink r:id="rId9" w:history="1">
        <w:r w:rsidR="00754879" w:rsidRPr="00754879">
          <w:rPr>
            <w:rStyle w:val="Hypertextovodkaz"/>
            <w:rFonts w:asciiTheme="minorHAnsi" w:hAnsiTheme="minorHAnsi" w:cstheme="minorHAnsi"/>
            <w:i/>
          </w:rPr>
          <w:t>https://www.nbu.cz/cs/pravni-predpisy/1078-predpisy-nato-vztahujici-se-k-ochrane-utajovanych-informaci/</w:t>
        </w:r>
      </w:hyperlink>
      <w:r w:rsidR="00754879">
        <w:rPr>
          <w:rFonts w:cstheme="minorHAnsi"/>
          <w:sz w:val="24"/>
        </w:rPr>
        <w:t xml:space="preserve"> </w:t>
      </w:r>
    </w:p>
    <w:p w:rsidR="00A04A63" w:rsidRPr="00A04A63" w:rsidRDefault="00A04A63" w:rsidP="00754879">
      <w:pPr>
        <w:autoSpaceDE w:val="0"/>
        <w:spacing w:after="0" w:line="240" w:lineRule="auto"/>
        <w:rPr>
          <w:rFonts w:eastAsia="BAAAAA+ArialMT" w:cstheme="minorHAnsi"/>
          <w:i/>
          <w:sz w:val="20"/>
          <w:szCs w:val="20"/>
          <w:lang w:eastAsia="cs-CZ"/>
        </w:rPr>
      </w:pPr>
    </w:p>
    <w:p w:rsidR="00A04A63" w:rsidRPr="00A04A63" w:rsidRDefault="00A04A63" w:rsidP="00754879">
      <w:pPr>
        <w:autoSpaceDE w:val="0"/>
        <w:spacing w:after="0" w:line="240" w:lineRule="auto"/>
        <w:rPr>
          <w:rFonts w:eastAsia="BAAAAA+ArialMT" w:cstheme="minorHAnsi"/>
          <w:i/>
          <w:sz w:val="20"/>
          <w:szCs w:val="20"/>
          <w:lang w:eastAsia="cs-CZ"/>
        </w:rPr>
      </w:pPr>
      <w:r w:rsidRPr="00A04A63">
        <w:rPr>
          <w:rFonts w:eastAsia="CAAAAA+Arial-BoldMT" w:cstheme="minorHAnsi"/>
          <w:b/>
          <w:bCs/>
          <w:i/>
          <w:sz w:val="20"/>
          <w:szCs w:val="20"/>
          <w:lang w:eastAsia="cs-CZ"/>
        </w:rPr>
        <w:t xml:space="preserve">has </w:t>
      </w:r>
      <w:proofErr w:type="spellStart"/>
      <w:r w:rsidRPr="00A04A63">
        <w:rPr>
          <w:rFonts w:eastAsia="CAAAAA+Arial-BoldMT" w:cstheme="minorHAnsi"/>
          <w:b/>
          <w:bCs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CAAAAA+Arial-BoldMT" w:cstheme="minorHAnsi"/>
          <w:b/>
          <w:bCs/>
          <w:i/>
          <w:sz w:val="20"/>
          <w:szCs w:val="20"/>
          <w:lang w:eastAsia="cs-CZ"/>
        </w:rPr>
        <w:t xml:space="preserve"> – has not </w:t>
      </w:r>
      <w:proofErr w:type="spellStart"/>
      <w:r w:rsidRPr="00A04A63">
        <w:rPr>
          <w:rFonts w:eastAsia="CAAAAA+Arial-BoldMT" w:cstheme="minorHAnsi"/>
          <w:b/>
          <w:bCs/>
          <w:i/>
          <w:sz w:val="20"/>
          <w:szCs w:val="20"/>
          <w:lang w:eastAsia="cs-CZ"/>
        </w:rPr>
        <w:t>been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*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briefed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on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regulations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EU</w:t>
      </w:r>
      <w:r w:rsidR="00754879">
        <w:rPr>
          <w:rFonts w:eastAsia="BAAAAA+ArialMT" w:cstheme="minorHAnsi"/>
          <w:i/>
          <w:sz w:val="20"/>
          <w:szCs w:val="20"/>
          <w:lang w:eastAsia="cs-CZ"/>
        </w:rPr>
        <w:t xml:space="preserve">, </w:t>
      </w:r>
      <w:r w:rsidR="00754879" w:rsidRPr="00754879">
        <w:rPr>
          <w:rFonts w:cstheme="minorHAnsi"/>
          <w:i/>
          <w:color w:val="1F1F1F"/>
          <w:sz w:val="20"/>
          <w:szCs w:val="20"/>
          <w:lang w:val="en"/>
        </w:rPr>
        <w:t>which are accessible at</w:t>
      </w:r>
      <w:r w:rsidR="00754879">
        <w:rPr>
          <w:rFonts w:cstheme="minorHAnsi"/>
          <w:i/>
          <w:color w:val="1F1F1F"/>
          <w:sz w:val="20"/>
          <w:szCs w:val="20"/>
          <w:lang w:val="en"/>
        </w:rPr>
        <w:t xml:space="preserve"> </w:t>
      </w:r>
      <w:hyperlink r:id="rId10" w:history="1">
        <w:r w:rsidR="00754879" w:rsidRPr="00754879">
          <w:rPr>
            <w:rStyle w:val="Hypertextovodkaz"/>
            <w:rFonts w:eastAsia="Times New Roman" w:cstheme="minorHAnsi"/>
            <w:i/>
            <w:sz w:val="20"/>
            <w:szCs w:val="20"/>
            <w:lang w:eastAsia="cs-CZ"/>
          </w:rPr>
          <w:t>https://www.nbu.cz/cs/pravni-predpisy/1077-predpisy-eu-vztahujici-se-k-ochrane-utajovanych-informaci/</w:t>
        </w:r>
      </w:hyperlink>
    </w:p>
    <w:p w:rsidR="00A04A63" w:rsidRPr="00A04A63" w:rsidRDefault="00A04A63" w:rsidP="00A04A63">
      <w:pPr>
        <w:autoSpaceDE w:val="0"/>
        <w:spacing w:after="0" w:line="240" w:lineRule="auto"/>
        <w:jc w:val="both"/>
        <w:rPr>
          <w:rFonts w:eastAsia="BAAAAA+ArialMT" w:cstheme="minorHAnsi"/>
          <w:i/>
          <w:sz w:val="20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 xml:space="preserve"> </w:t>
      </w:r>
    </w:p>
    <w:p w:rsidR="00A04A63" w:rsidRPr="00A04A63" w:rsidRDefault="00A04A63" w:rsidP="00A04A63">
      <w:pPr>
        <w:spacing w:after="0" w:line="240" w:lineRule="auto"/>
        <w:ind w:left="180" w:hanging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V</w:t>
      </w:r>
      <w:r w:rsidRPr="00A04A63">
        <w:rPr>
          <w:rFonts w:eastAsia="Times New Roman" w:cstheme="minorHAnsi"/>
          <w:i/>
          <w:sz w:val="18"/>
          <w:szCs w:val="18"/>
          <w:lang w:eastAsia="cs-CZ"/>
        </w:rPr>
        <w:t>(In)</w:t>
      </w:r>
      <w:r w:rsidRPr="00A04A63">
        <w:rPr>
          <w:rFonts w:eastAsia="Times New Roman" w:cstheme="minorHAnsi"/>
          <w:sz w:val="24"/>
          <w:szCs w:val="20"/>
          <w:lang w:eastAsia="cs-CZ"/>
        </w:rPr>
        <w:t>………………</w:t>
      </w:r>
      <w:r w:rsidR="00ED5E2B">
        <w:rPr>
          <w:rFonts w:eastAsia="Times New Roman" w:cstheme="minorHAnsi"/>
          <w:sz w:val="24"/>
          <w:szCs w:val="20"/>
          <w:lang w:eastAsia="cs-CZ"/>
        </w:rPr>
        <w:t>…….</w:t>
      </w:r>
      <w:r w:rsidRPr="00A04A63">
        <w:rPr>
          <w:rFonts w:eastAsia="Times New Roman" w:cstheme="minorHAnsi"/>
          <w:sz w:val="24"/>
          <w:szCs w:val="20"/>
          <w:lang w:eastAsia="cs-CZ"/>
        </w:rPr>
        <w:t xml:space="preserve">  </w:t>
      </w:r>
      <w:proofErr w:type="gramStart"/>
      <w:r w:rsidRPr="00A04A63">
        <w:rPr>
          <w:rFonts w:eastAsia="Times New Roman" w:cstheme="minorHAnsi"/>
          <w:sz w:val="24"/>
          <w:szCs w:val="20"/>
          <w:lang w:eastAsia="cs-CZ"/>
        </w:rPr>
        <w:t>dne</w:t>
      </w:r>
      <w:proofErr w:type="gramEnd"/>
      <w:r w:rsidRPr="00A04A63">
        <w:rPr>
          <w:rFonts w:eastAsia="Times New Roman" w:cstheme="minorHAnsi"/>
          <w:sz w:val="24"/>
          <w:szCs w:val="20"/>
          <w:lang w:eastAsia="cs-CZ"/>
        </w:rPr>
        <w:t xml:space="preserve"> </w:t>
      </w:r>
      <w:r w:rsidRPr="00A04A63">
        <w:rPr>
          <w:rFonts w:eastAsia="Times New Roman" w:cstheme="minorHAnsi"/>
          <w:i/>
          <w:sz w:val="18"/>
          <w:szCs w:val="18"/>
          <w:lang w:eastAsia="cs-CZ"/>
        </w:rPr>
        <w:t>(</w:t>
      </w:r>
      <w:proofErr w:type="spellStart"/>
      <w:r w:rsidRPr="00A04A63">
        <w:rPr>
          <w:rFonts w:eastAsia="Times New Roman" w:cstheme="minorHAnsi"/>
          <w:i/>
          <w:sz w:val="18"/>
          <w:szCs w:val="18"/>
          <w:lang w:eastAsia="cs-CZ"/>
        </w:rPr>
        <w:t>Date</w:t>
      </w:r>
      <w:proofErr w:type="spellEnd"/>
      <w:r w:rsidRPr="00A04A63">
        <w:rPr>
          <w:rFonts w:eastAsia="Times New Roman" w:cstheme="minorHAnsi"/>
          <w:i/>
          <w:sz w:val="18"/>
          <w:szCs w:val="18"/>
          <w:lang w:eastAsia="cs-CZ"/>
        </w:rPr>
        <w:t>)</w:t>
      </w:r>
      <w:r w:rsidRPr="00A04A63">
        <w:rPr>
          <w:rFonts w:eastAsia="Times New Roman" w:cstheme="minorHAnsi"/>
          <w:sz w:val="24"/>
          <w:szCs w:val="20"/>
          <w:lang w:eastAsia="cs-CZ"/>
        </w:rPr>
        <w:t>……………</w:t>
      </w:r>
      <w:r w:rsidR="00ED5E2B">
        <w:rPr>
          <w:rFonts w:eastAsia="Times New Roman" w:cstheme="minorHAnsi"/>
          <w:sz w:val="24"/>
          <w:szCs w:val="20"/>
          <w:lang w:eastAsia="cs-CZ"/>
        </w:rPr>
        <w:t>……</w:t>
      </w:r>
    </w:p>
    <w:p w:rsid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8C22DB" w:rsidRPr="00A04A63" w:rsidRDefault="008C22DB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u w:val="single"/>
          <w:lang w:eastAsia="cs-CZ"/>
        </w:rPr>
        <w:t xml:space="preserve">Poučení </w:t>
      </w:r>
      <w:proofErr w:type="gramStart"/>
      <w:r w:rsidRPr="00A04A63">
        <w:rPr>
          <w:rFonts w:eastAsia="Times New Roman" w:cstheme="minorHAnsi"/>
          <w:sz w:val="24"/>
          <w:szCs w:val="20"/>
          <w:u w:val="single"/>
          <w:lang w:eastAsia="cs-CZ"/>
        </w:rPr>
        <w:t>provedl</w:t>
      </w:r>
      <w:proofErr w:type="gramEnd"/>
      <w:r w:rsidRPr="00A04A63">
        <w:rPr>
          <w:rFonts w:eastAsia="Times New Roman" w:cstheme="minorHAnsi"/>
          <w:sz w:val="24"/>
          <w:szCs w:val="20"/>
          <w:lang w:eastAsia="cs-CZ"/>
        </w:rPr>
        <w:t xml:space="preserve">                                                                  </w:t>
      </w:r>
      <w:r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u w:val="single"/>
          <w:lang w:eastAsia="cs-CZ"/>
        </w:rPr>
        <w:t>Poučená osoba</w:t>
      </w: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briefing made by                                                                           </w:t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The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briefed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person</w:t>
      </w: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i/>
          <w:sz w:val="20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Jméno</w:t>
      </w:r>
      <w:r w:rsidRPr="00A04A63">
        <w:rPr>
          <w:rFonts w:eastAsia="Times New Roman" w:cstheme="minorHAnsi"/>
          <w:color w:val="7030A0"/>
          <w:sz w:val="24"/>
          <w:szCs w:val="20"/>
          <w:lang w:eastAsia="cs-CZ"/>
        </w:rPr>
        <w:t xml:space="preserve"> </w:t>
      </w:r>
      <w:r w:rsidRPr="00A04A63">
        <w:rPr>
          <w:rFonts w:eastAsia="Times New Roman" w:cstheme="minorHAnsi"/>
          <w:sz w:val="24"/>
          <w:szCs w:val="20"/>
          <w:lang w:eastAsia="cs-CZ"/>
        </w:rPr>
        <w:t xml:space="preserve">a příjmení                                                               </w:t>
      </w:r>
      <w:r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>Jméno</w:t>
      </w:r>
      <w:r w:rsidRPr="00A04A63">
        <w:rPr>
          <w:rFonts w:eastAsia="Times New Roman" w:cstheme="minorHAnsi"/>
          <w:color w:val="7030A0"/>
          <w:sz w:val="24"/>
          <w:szCs w:val="20"/>
          <w:lang w:eastAsia="cs-CZ"/>
        </w:rPr>
        <w:t xml:space="preserve"> </w:t>
      </w:r>
      <w:r w:rsidRPr="00A04A63">
        <w:rPr>
          <w:rFonts w:eastAsia="Times New Roman" w:cstheme="minorHAnsi"/>
          <w:sz w:val="24"/>
          <w:szCs w:val="20"/>
          <w:lang w:eastAsia="cs-CZ"/>
        </w:rPr>
        <w:t>a příjmení</w:t>
      </w: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Name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and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surname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                                                                             </w:t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Name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and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surname</w:t>
      </w:r>
      <w:proofErr w:type="spellEnd"/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BAAAAA+ArialMT" w:cstheme="minorHAnsi"/>
          <w:i/>
          <w:sz w:val="20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 xml:space="preserve">Datum narození </w:t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  <w:t xml:space="preserve">     </w:t>
      </w:r>
      <w:r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>Datum narození</w:t>
      </w: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BAAAAA+ArialMT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Date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birth</w:t>
      </w:r>
      <w:proofErr w:type="spellEnd"/>
      <w:r>
        <w:rPr>
          <w:rFonts w:eastAsia="BAAAAA+ArialMT" w:cstheme="minorHAnsi"/>
          <w:i/>
          <w:sz w:val="20"/>
          <w:szCs w:val="20"/>
          <w:lang w:eastAsia="cs-CZ"/>
        </w:rPr>
        <w:tab/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r>
        <w:rPr>
          <w:rFonts w:eastAsia="BAAAAA+ArialMT" w:cstheme="minorHAnsi"/>
          <w:i/>
          <w:sz w:val="20"/>
          <w:szCs w:val="20"/>
          <w:lang w:eastAsia="cs-CZ"/>
        </w:rPr>
        <w:tab/>
        <w:t xml:space="preserve">    </w:t>
      </w:r>
      <w:r>
        <w:rPr>
          <w:rFonts w:eastAsia="BAAAAA+ArialMT" w:cstheme="minorHAnsi"/>
          <w:i/>
          <w:sz w:val="20"/>
          <w:szCs w:val="20"/>
          <w:lang w:eastAsia="cs-CZ"/>
        </w:rPr>
        <w:tab/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Date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of</w:t>
      </w:r>
      <w:proofErr w:type="spellEnd"/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birth</w:t>
      </w:r>
      <w:proofErr w:type="spellEnd"/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BAAAAA+ArialMT" w:cstheme="minorHAnsi"/>
          <w:i/>
          <w:sz w:val="20"/>
          <w:szCs w:val="20"/>
          <w:lang w:eastAsia="cs-CZ"/>
        </w:rPr>
      </w:pPr>
    </w:p>
    <w:p w:rsid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>Podpis</w:t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r>
        <w:rPr>
          <w:rFonts w:eastAsia="Times New Roman" w:cstheme="minorHAnsi"/>
          <w:sz w:val="24"/>
          <w:szCs w:val="20"/>
          <w:lang w:eastAsia="cs-CZ"/>
        </w:rPr>
        <w:tab/>
      </w:r>
      <w:proofErr w:type="spellStart"/>
      <w:r w:rsidRPr="00A04A63">
        <w:rPr>
          <w:rFonts w:eastAsia="Times New Roman" w:cstheme="minorHAnsi"/>
          <w:sz w:val="24"/>
          <w:szCs w:val="20"/>
          <w:lang w:eastAsia="cs-CZ"/>
        </w:rPr>
        <w:t>Podpis</w:t>
      </w:r>
      <w:proofErr w:type="spellEnd"/>
      <w:r w:rsidRPr="00A04A63">
        <w:rPr>
          <w:rFonts w:eastAsia="Times New Roman" w:cstheme="minorHAnsi"/>
          <w:sz w:val="24"/>
          <w:szCs w:val="20"/>
          <w:lang w:eastAsia="cs-CZ"/>
        </w:rPr>
        <w:t xml:space="preserve"> </w:t>
      </w: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Signature</w:t>
      </w:r>
      <w:proofErr w:type="spellEnd"/>
      <w:r w:rsidRPr="00A04A63">
        <w:rPr>
          <w:rFonts w:eastAsia="Times New Roman" w:cstheme="minorHAnsi"/>
          <w:i/>
          <w:sz w:val="20"/>
          <w:szCs w:val="20"/>
          <w:lang w:eastAsia="cs-CZ"/>
        </w:rPr>
        <w:t xml:space="preserve">     </w:t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r>
        <w:rPr>
          <w:rFonts w:eastAsia="Times New Roman" w:cstheme="minorHAnsi"/>
          <w:i/>
          <w:sz w:val="20"/>
          <w:szCs w:val="20"/>
          <w:lang w:eastAsia="cs-CZ"/>
        </w:rPr>
        <w:tab/>
      </w: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Signature</w:t>
      </w:r>
      <w:proofErr w:type="spellEnd"/>
      <w:r w:rsidRPr="00A04A63">
        <w:rPr>
          <w:rFonts w:eastAsia="Times New Roman" w:cstheme="minorHAnsi"/>
          <w:sz w:val="24"/>
          <w:szCs w:val="20"/>
          <w:lang w:eastAsia="cs-CZ"/>
        </w:rPr>
        <w:t xml:space="preserve">                                                                               </w:t>
      </w:r>
      <w:r w:rsidRPr="00A04A63">
        <w:rPr>
          <w:rFonts w:eastAsia="BAAAAA+ArialMT" w:cstheme="minorHAnsi"/>
          <w:sz w:val="24"/>
          <w:szCs w:val="20"/>
          <w:lang w:eastAsia="cs-CZ"/>
        </w:rPr>
        <w:t xml:space="preserve">  </w:t>
      </w:r>
      <w:r w:rsidRPr="00A04A63">
        <w:rPr>
          <w:rFonts w:eastAsia="BAAAAA+ArialMT" w:cstheme="minorHAnsi"/>
          <w:i/>
          <w:sz w:val="20"/>
          <w:szCs w:val="20"/>
          <w:lang w:eastAsia="cs-CZ"/>
        </w:rPr>
        <w:t xml:space="preserve">   </w:t>
      </w:r>
      <w:r w:rsidRPr="00A04A63">
        <w:rPr>
          <w:rFonts w:eastAsia="BAAAAA+ArialMT" w:cstheme="minorHAnsi"/>
          <w:sz w:val="20"/>
          <w:szCs w:val="20"/>
          <w:lang w:eastAsia="cs-CZ"/>
        </w:rPr>
        <w:t xml:space="preserve">                                                                                            </w:t>
      </w:r>
    </w:p>
    <w:p w:rsid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 xml:space="preserve">Otisk razítka                                                                       </w:t>
      </w:r>
    </w:p>
    <w:p w:rsidR="00A04A63" w:rsidRPr="00A04A63" w:rsidRDefault="00A04A63" w:rsidP="00A04A63">
      <w:pPr>
        <w:spacing w:after="0" w:line="240" w:lineRule="auto"/>
        <w:ind w:left="708" w:hanging="528"/>
        <w:jc w:val="both"/>
        <w:rPr>
          <w:rFonts w:eastAsia="Times New Roman" w:cstheme="minorHAnsi"/>
          <w:sz w:val="24"/>
          <w:szCs w:val="20"/>
          <w:lang w:eastAsia="cs-CZ"/>
        </w:rPr>
      </w:pPr>
      <w:proofErr w:type="spellStart"/>
      <w:r w:rsidRPr="00A04A63">
        <w:rPr>
          <w:rFonts w:eastAsia="BAAAAA+ArialMT" w:cstheme="minorHAnsi"/>
          <w:i/>
          <w:sz w:val="20"/>
          <w:szCs w:val="20"/>
          <w:lang w:eastAsia="cs-CZ"/>
        </w:rPr>
        <w:t>Stamp</w:t>
      </w:r>
      <w:proofErr w:type="spellEnd"/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</w:p>
    <w:p w:rsidR="00A04A63" w:rsidRPr="00A04A63" w:rsidRDefault="00A04A63" w:rsidP="00A04A63">
      <w:pPr>
        <w:spacing w:after="0" w:line="240" w:lineRule="auto"/>
        <w:ind w:left="708" w:hanging="528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</w:p>
    <w:p w:rsidR="00A04A63" w:rsidRPr="00A04A63" w:rsidRDefault="00A04A63" w:rsidP="00A04A63">
      <w:pPr>
        <w:spacing w:after="0" w:line="240" w:lineRule="auto"/>
        <w:ind w:left="1416" w:firstLine="708"/>
        <w:rPr>
          <w:rFonts w:eastAsia="BAAAAA+ArialMT" w:cstheme="minorHAnsi"/>
          <w:sz w:val="20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 xml:space="preserve">                                         </w:t>
      </w:r>
    </w:p>
    <w:p w:rsidR="00A04A63" w:rsidRPr="00A04A63" w:rsidRDefault="00A04A63" w:rsidP="00A04A63">
      <w:pPr>
        <w:spacing w:after="0" w:line="240" w:lineRule="auto"/>
        <w:ind w:left="180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A04A63" w:rsidRPr="008C22DB" w:rsidRDefault="00A04A63" w:rsidP="008C22DB">
      <w:pPr>
        <w:spacing w:after="0" w:line="240" w:lineRule="auto"/>
        <w:ind w:left="180"/>
        <w:jc w:val="both"/>
        <w:rPr>
          <w:rFonts w:eastAsia="Times New Roman" w:cstheme="minorHAnsi"/>
          <w:i/>
          <w:sz w:val="20"/>
          <w:szCs w:val="20"/>
          <w:lang w:eastAsia="cs-CZ"/>
        </w:rPr>
      </w:pPr>
      <w:r w:rsidRPr="00A04A63">
        <w:rPr>
          <w:rFonts w:eastAsia="Times New Roman" w:cstheme="minorHAnsi"/>
          <w:sz w:val="24"/>
          <w:szCs w:val="20"/>
          <w:lang w:eastAsia="cs-CZ"/>
        </w:rPr>
        <w:t xml:space="preserve">                                                                                             </w:t>
      </w:r>
      <w:r w:rsidRPr="00A04A63">
        <w:rPr>
          <w:rFonts w:eastAsia="Times New Roman" w:cstheme="minorHAnsi"/>
          <w:sz w:val="24"/>
          <w:szCs w:val="20"/>
          <w:lang w:eastAsia="cs-CZ"/>
        </w:rPr>
        <w:tab/>
      </w:r>
      <w:r w:rsidRPr="00A04A63">
        <w:rPr>
          <w:rFonts w:eastAsia="Times New Roman" w:cstheme="minorHAnsi"/>
          <w:i/>
          <w:sz w:val="20"/>
          <w:szCs w:val="20"/>
          <w:lang w:eastAsia="cs-CZ"/>
        </w:rPr>
        <w:t xml:space="preserve"> </w:t>
      </w: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bCs/>
          <w:sz w:val="24"/>
          <w:szCs w:val="20"/>
          <w:lang w:eastAsia="cs-CZ"/>
        </w:rPr>
      </w:pP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bCs/>
          <w:sz w:val="24"/>
          <w:szCs w:val="20"/>
          <w:lang w:eastAsia="cs-CZ"/>
        </w:rPr>
      </w:pPr>
      <w:r w:rsidRPr="00A04A63">
        <w:rPr>
          <w:rFonts w:eastAsia="Times New Roman" w:cstheme="minorHAnsi"/>
          <w:bCs/>
          <w:sz w:val="24"/>
          <w:szCs w:val="20"/>
          <w:lang w:eastAsia="cs-CZ"/>
        </w:rPr>
        <w:t>_______________</w:t>
      </w: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04A63">
        <w:rPr>
          <w:rFonts w:eastAsia="Times New Roman" w:cstheme="minorHAnsi"/>
          <w:bCs/>
          <w:sz w:val="20"/>
          <w:szCs w:val="20"/>
          <w:lang w:eastAsia="cs-CZ"/>
        </w:rPr>
        <w:t>*Nehodící se škrtněte.</w:t>
      </w:r>
    </w:p>
    <w:p w:rsidR="00A04A63" w:rsidRPr="00A04A63" w:rsidRDefault="00A04A63" w:rsidP="00A04A6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cs-CZ"/>
        </w:rPr>
      </w:pPr>
      <w:r w:rsidRPr="00A04A63">
        <w:rPr>
          <w:rFonts w:eastAsia="Times New Roman" w:cstheme="minorHAnsi"/>
          <w:bCs/>
          <w:sz w:val="20"/>
          <w:szCs w:val="20"/>
          <w:lang w:eastAsia="cs-CZ"/>
        </w:rPr>
        <w:t>*</w:t>
      </w:r>
      <w:proofErr w:type="spellStart"/>
      <w:r w:rsidRPr="00A04A63">
        <w:rPr>
          <w:rFonts w:eastAsia="Times New Roman" w:cstheme="minorHAnsi"/>
          <w:bCs/>
          <w:sz w:val="20"/>
          <w:szCs w:val="20"/>
          <w:lang w:eastAsia="cs-CZ"/>
        </w:rPr>
        <w:t>Delete</w:t>
      </w:r>
      <w:proofErr w:type="spellEnd"/>
      <w:r w:rsidRPr="00A04A63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proofErr w:type="spellStart"/>
      <w:r w:rsidRPr="00A04A63">
        <w:rPr>
          <w:rFonts w:eastAsia="Times New Roman" w:cstheme="minorHAnsi"/>
          <w:bCs/>
          <w:sz w:val="20"/>
          <w:szCs w:val="20"/>
          <w:lang w:eastAsia="cs-CZ"/>
        </w:rPr>
        <w:t>where</w:t>
      </w:r>
      <w:proofErr w:type="spellEnd"/>
      <w:r w:rsidRPr="00A04A63">
        <w:rPr>
          <w:rFonts w:eastAsia="Times New Roman" w:cstheme="minorHAnsi"/>
          <w:bCs/>
          <w:sz w:val="20"/>
          <w:szCs w:val="20"/>
          <w:lang w:eastAsia="cs-CZ"/>
        </w:rPr>
        <w:t xml:space="preserve"> not </w:t>
      </w:r>
      <w:proofErr w:type="spellStart"/>
      <w:r w:rsidRPr="00A04A63">
        <w:rPr>
          <w:rFonts w:eastAsia="Times New Roman" w:cstheme="minorHAnsi"/>
          <w:bCs/>
          <w:sz w:val="20"/>
          <w:szCs w:val="20"/>
          <w:lang w:eastAsia="cs-CZ"/>
        </w:rPr>
        <w:t>applicable</w:t>
      </w:r>
      <w:proofErr w:type="spellEnd"/>
      <w:r w:rsidRPr="00A04A63">
        <w:rPr>
          <w:rFonts w:eastAsia="Times New Roman" w:cstheme="minorHAnsi"/>
          <w:bCs/>
          <w:sz w:val="20"/>
          <w:szCs w:val="20"/>
          <w:lang w:eastAsia="cs-CZ"/>
        </w:rPr>
        <w:t>.</w:t>
      </w:r>
    </w:p>
    <w:p w:rsidR="00A04A63" w:rsidRPr="00A04A63" w:rsidRDefault="00A04A63" w:rsidP="00A04A63">
      <w:pPr>
        <w:rPr>
          <w:rFonts w:cstheme="minorHAnsi"/>
        </w:rPr>
      </w:pPr>
    </w:p>
    <w:p w:rsidR="00F933C9" w:rsidRPr="00A04A63" w:rsidRDefault="00F933C9">
      <w:pPr>
        <w:rPr>
          <w:rFonts w:cstheme="minorHAnsi"/>
        </w:rPr>
      </w:pPr>
    </w:p>
    <w:sectPr w:rsidR="00F933C9" w:rsidRPr="00A0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63"/>
    <w:rsid w:val="00754879"/>
    <w:rsid w:val="008C22DB"/>
    <w:rsid w:val="00A04A63"/>
    <w:rsid w:val="00B6316A"/>
    <w:rsid w:val="00ED5E2B"/>
    <w:rsid w:val="00F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2FE7B-8D05-455B-A008-B770AC98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4A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5E2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D5E2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54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5487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75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u.cz/cs/pravni-predpisy/1077-predpisy-eu-vztahujici-se-k-ochrane-utajovanych-informa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bu.cz/cs/pravni-predpisy/1078-predpisy-nato-vztahujici-se-k-ochrane-utajovanych-informac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nbu.cz/cs/pravni-predpisy/1077-predpisy-eu-vztahujici-se-k-ochrane-utajovanych-informa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bu.cz/cs/pravni-predpisy/1078-%20%20predpisy-nato-vztahujici-se-k-ochrane-utajovanych-informac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Vála Martin</dc:creator>
  <cp:keywords/>
  <dc:description/>
  <cp:lastModifiedBy>Slabý, Antonín</cp:lastModifiedBy>
  <cp:revision>2</cp:revision>
  <dcterms:created xsi:type="dcterms:W3CDTF">2025-05-08T19:35:00Z</dcterms:created>
  <dcterms:modified xsi:type="dcterms:W3CDTF">2025-05-08T19:35:00Z</dcterms:modified>
</cp:coreProperties>
</file>