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57" w:rsidRPr="00EF0185" w:rsidRDefault="00210A57" w:rsidP="00210A57">
      <w:pPr>
        <w:pStyle w:val="Bezmezer"/>
        <w:jc w:val="right"/>
      </w:pPr>
      <w:r w:rsidRPr="00EF0185">
        <w:t>Příloha č. 7 k vyhlášce č. 529/2005 Sb.</w:t>
      </w:r>
    </w:p>
    <w:p w:rsidR="00210A57" w:rsidRPr="00EF0185" w:rsidRDefault="00210A57" w:rsidP="00210A57">
      <w:pPr>
        <w:pStyle w:val="Bezmezer"/>
      </w:pPr>
    </w:p>
    <w:p w:rsidR="00210A57" w:rsidRPr="009538B3" w:rsidRDefault="00210A57" w:rsidP="00210A57">
      <w:pPr>
        <w:pStyle w:val="Bezmezer"/>
        <w:jc w:val="center"/>
        <w:rPr>
          <w:b/>
        </w:rPr>
      </w:pPr>
      <w:r w:rsidRPr="009538B3">
        <w:rPr>
          <w:b/>
        </w:rPr>
        <w:t>Vzor sběrného archu</w:t>
      </w:r>
    </w:p>
    <w:p w:rsidR="00210A57" w:rsidRDefault="00210A57" w:rsidP="00210A57">
      <w:pPr>
        <w:pStyle w:val="Bezmezer"/>
      </w:pPr>
    </w:p>
    <w:p w:rsidR="00210A57" w:rsidRDefault="00210A57" w:rsidP="00210A57">
      <w:pPr>
        <w:pStyle w:val="Bezmezer"/>
      </w:pPr>
      <w:r>
        <w:t>STUPEŇ UTAJENÍ:</w:t>
      </w:r>
    </w:p>
    <w:p w:rsidR="00210A57" w:rsidRPr="00EF0185" w:rsidRDefault="00210A57" w:rsidP="00210A57">
      <w:pPr>
        <w:pStyle w:val="Bezmezer"/>
      </w:pPr>
    </w:p>
    <w:p w:rsidR="00210A57" w:rsidRPr="00EF0185" w:rsidRDefault="00210A57" w:rsidP="00210A57">
      <w:pPr>
        <w:pStyle w:val="Bezmezer"/>
        <w:jc w:val="center"/>
      </w:pPr>
      <w:r w:rsidRPr="00EF0185">
        <w:rPr>
          <w:bCs/>
        </w:rPr>
        <w:t>Sběrný arch k č. j./</w:t>
      </w:r>
      <w:r>
        <w:rPr>
          <w:bCs/>
        </w:rPr>
        <w:t xml:space="preserve"> jiné </w:t>
      </w:r>
      <w:r w:rsidRPr="00EF0185">
        <w:rPr>
          <w:bCs/>
        </w:rPr>
        <w:t xml:space="preserve">ev. </w:t>
      </w:r>
      <w:proofErr w:type="spellStart"/>
      <w:proofErr w:type="gramStart"/>
      <w:r w:rsidRPr="00EF0185">
        <w:rPr>
          <w:bCs/>
        </w:rPr>
        <w:t>ozn</w:t>
      </w:r>
      <w:proofErr w:type="spellEnd"/>
      <w:r w:rsidRPr="00EF0185">
        <w:rPr>
          <w:bCs/>
        </w:rPr>
        <w:t>.*</w:t>
      </w:r>
      <w:r w:rsidRPr="00EF0185">
        <w:rPr>
          <w:bCs/>
          <w:vertAlign w:val="superscript"/>
        </w:rPr>
        <w:t>)</w:t>
      </w:r>
      <w:r w:rsidRPr="00EF0185">
        <w:rPr>
          <w:bCs/>
        </w:rPr>
        <w:t>__________________</w:t>
      </w:r>
      <w:proofErr w:type="gramEnd"/>
    </w:p>
    <w:p w:rsidR="00210A57" w:rsidRPr="00EF0185" w:rsidRDefault="00210A57" w:rsidP="00210A57">
      <w:pPr>
        <w:pStyle w:val="Bezmezer"/>
      </w:pPr>
      <w:r w:rsidRPr="00EF0185">
        <w:t>Věc: _______________________________________________________________</w:t>
      </w:r>
    </w:p>
    <w:p w:rsidR="00210A57" w:rsidRPr="00EF0185" w:rsidRDefault="00210A57" w:rsidP="00210A57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11"/>
        <w:gridCol w:w="1936"/>
        <w:gridCol w:w="1323"/>
        <w:gridCol w:w="995"/>
        <w:gridCol w:w="850"/>
        <w:gridCol w:w="851"/>
        <w:gridCol w:w="1950"/>
      </w:tblGrid>
      <w:tr w:rsidR="00210A57" w:rsidRPr="00EF0185" w:rsidTr="000B70D1">
        <w:tc>
          <w:tcPr>
            <w:tcW w:w="672" w:type="dxa"/>
            <w:vMerge w:val="restart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  <w:proofErr w:type="spellStart"/>
            <w:r w:rsidRPr="00EF0185">
              <w:t>Poř</w:t>
            </w:r>
            <w:proofErr w:type="spellEnd"/>
            <w:r w:rsidRPr="00EF0185">
              <w:t>.</w:t>
            </w:r>
          </w:p>
          <w:p w:rsidR="00210A57" w:rsidRPr="00EF0185" w:rsidRDefault="00210A57" w:rsidP="000B70D1">
            <w:pPr>
              <w:pStyle w:val="Bezmezer"/>
              <w:jc w:val="center"/>
            </w:pPr>
            <w:r w:rsidRPr="00EF0185">
              <w:t>číslo</w:t>
            </w:r>
          </w:p>
        </w:tc>
        <w:tc>
          <w:tcPr>
            <w:tcW w:w="711" w:type="dxa"/>
            <w:vMerge w:val="restart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  <w:r w:rsidRPr="00EF0185">
              <w:t>Dne</w:t>
            </w:r>
          </w:p>
        </w:tc>
        <w:tc>
          <w:tcPr>
            <w:tcW w:w="1936" w:type="dxa"/>
            <w:vMerge w:val="restart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  <w:r w:rsidRPr="00EF0185">
              <w:t>Odesílatel/adresát</w:t>
            </w:r>
          </w:p>
        </w:tc>
        <w:tc>
          <w:tcPr>
            <w:tcW w:w="1323" w:type="dxa"/>
            <w:vMerge w:val="restart"/>
            <w:vAlign w:val="center"/>
          </w:tcPr>
          <w:p w:rsidR="00210A57" w:rsidRPr="00EF0185" w:rsidRDefault="00210A57" w:rsidP="000B70D1">
            <w:pPr>
              <w:pStyle w:val="Bezmezer"/>
              <w:rPr>
                <w:strike/>
              </w:rPr>
            </w:pPr>
            <w:proofErr w:type="gramStart"/>
            <w:r w:rsidRPr="00EF0185">
              <w:t>Č.j.</w:t>
            </w:r>
            <w:proofErr w:type="gramEnd"/>
            <w:r w:rsidRPr="00EF0185">
              <w:t>/</w:t>
            </w:r>
            <w:r>
              <w:t xml:space="preserve">jiné </w:t>
            </w:r>
            <w:proofErr w:type="spellStart"/>
            <w:r w:rsidRPr="00EF0185">
              <w:t>ev.ozn</w:t>
            </w:r>
            <w:proofErr w:type="spellEnd"/>
            <w:r w:rsidRPr="00EF0185">
              <w:t>.</w:t>
            </w:r>
          </w:p>
        </w:tc>
        <w:tc>
          <w:tcPr>
            <w:tcW w:w="2696" w:type="dxa"/>
            <w:gridSpan w:val="3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  <w:r w:rsidRPr="00EF0185">
              <w:t>Počet listů</w:t>
            </w:r>
          </w:p>
        </w:tc>
        <w:tc>
          <w:tcPr>
            <w:tcW w:w="1950" w:type="dxa"/>
            <w:vMerge w:val="restart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  <w:r w:rsidRPr="00EF0185">
              <w:t>Poznámka</w:t>
            </w:r>
          </w:p>
          <w:p w:rsidR="00210A57" w:rsidRPr="00EF0185" w:rsidRDefault="00210A57" w:rsidP="000B70D1">
            <w:pPr>
              <w:pStyle w:val="Bezmezer"/>
              <w:jc w:val="center"/>
              <w:rPr>
                <w:sz w:val="20"/>
                <w:szCs w:val="20"/>
              </w:rPr>
            </w:pPr>
            <w:r w:rsidRPr="00EF0185">
              <w:rPr>
                <w:sz w:val="20"/>
                <w:szCs w:val="20"/>
              </w:rPr>
              <w:t>(způsob vyřízení, datum a způsob odeslání)</w:t>
            </w:r>
          </w:p>
        </w:tc>
      </w:tr>
      <w:tr w:rsidR="00210A57" w:rsidRPr="00EF0185" w:rsidTr="000B70D1">
        <w:tc>
          <w:tcPr>
            <w:tcW w:w="672" w:type="dxa"/>
            <w:vMerge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711" w:type="dxa"/>
            <w:vMerge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1323" w:type="dxa"/>
            <w:vMerge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995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  <w:proofErr w:type="spellStart"/>
            <w:r w:rsidRPr="00EF0185">
              <w:t>přij</w:t>
            </w:r>
            <w:proofErr w:type="spellEnd"/>
            <w:r w:rsidRPr="00EF0185">
              <w:t>./</w:t>
            </w:r>
          </w:p>
          <w:p w:rsidR="00210A57" w:rsidRPr="00EF0185" w:rsidRDefault="00210A57" w:rsidP="000B70D1">
            <w:pPr>
              <w:pStyle w:val="Bezmezer"/>
              <w:jc w:val="center"/>
            </w:pPr>
            <w:proofErr w:type="spellStart"/>
            <w:r w:rsidRPr="00EF0185">
              <w:t>vyhot</w:t>
            </w:r>
            <w:proofErr w:type="spellEnd"/>
            <w:r w:rsidRPr="00EF0185">
              <w:t>.</w:t>
            </w:r>
          </w:p>
        </w:tc>
        <w:tc>
          <w:tcPr>
            <w:tcW w:w="850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  <w:proofErr w:type="spellStart"/>
            <w:r w:rsidRPr="00EF0185">
              <w:t>odesl</w:t>
            </w:r>
            <w:proofErr w:type="spellEnd"/>
            <w:r w:rsidRPr="00EF0185">
              <w:t>.</w:t>
            </w:r>
          </w:p>
        </w:tc>
        <w:tc>
          <w:tcPr>
            <w:tcW w:w="851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  <w:r w:rsidRPr="00EF0185">
              <w:t>ulož.</w:t>
            </w:r>
          </w:p>
        </w:tc>
        <w:tc>
          <w:tcPr>
            <w:tcW w:w="1950" w:type="dxa"/>
            <w:vMerge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</w:tr>
      <w:tr w:rsidR="00210A57" w:rsidRPr="00EF0185" w:rsidTr="000B70D1">
        <w:tc>
          <w:tcPr>
            <w:tcW w:w="672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  <w:r w:rsidRPr="00EF0185">
              <w:t>1.</w:t>
            </w:r>
          </w:p>
        </w:tc>
        <w:tc>
          <w:tcPr>
            <w:tcW w:w="711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1936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1323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995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850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851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  <w:tc>
          <w:tcPr>
            <w:tcW w:w="1950" w:type="dxa"/>
            <w:vAlign w:val="center"/>
          </w:tcPr>
          <w:p w:rsidR="00210A57" w:rsidRPr="00EF0185" w:rsidRDefault="00210A57" w:rsidP="000B70D1">
            <w:pPr>
              <w:pStyle w:val="Bezmezer"/>
              <w:jc w:val="center"/>
            </w:pPr>
          </w:p>
        </w:tc>
      </w:tr>
      <w:tr w:rsidR="00210A57" w:rsidRPr="00EF0185" w:rsidTr="000B70D1">
        <w:tc>
          <w:tcPr>
            <w:tcW w:w="672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711" w:type="dxa"/>
          </w:tcPr>
          <w:p w:rsidR="00210A57" w:rsidRPr="00EF0185" w:rsidRDefault="00210A57" w:rsidP="000B70D1">
            <w:pPr>
              <w:pStyle w:val="Bezmezer"/>
            </w:pPr>
          </w:p>
          <w:p w:rsidR="00210A57" w:rsidRPr="00EF0185" w:rsidRDefault="00210A57" w:rsidP="000B70D1">
            <w:pPr>
              <w:pStyle w:val="Bezmezer"/>
            </w:pPr>
          </w:p>
        </w:tc>
        <w:tc>
          <w:tcPr>
            <w:tcW w:w="1936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1323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995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850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851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1950" w:type="dxa"/>
          </w:tcPr>
          <w:p w:rsidR="00210A57" w:rsidRPr="00EF0185" w:rsidRDefault="00210A57" w:rsidP="000B70D1">
            <w:pPr>
              <w:pStyle w:val="Bezmezer"/>
            </w:pPr>
          </w:p>
        </w:tc>
      </w:tr>
      <w:tr w:rsidR="00210A57" w:rsidRPr="00EF0185" w:rsidTr="000B70D1">
        <w:tc>
          <w:tcPr>
            <w:tcW w:w="672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711" w:type="dxa"/>
          </w:tcPr>
          <w:p w:rsidR="00210A57" w:rsidRPr="00EF0185" w:rsidRDefault="00210A57" w:rsidP="000B70D1">
            <w:pPr>
              <w:pStyle w:val="Bezmezer"/>
            </w:pPr>
          </w:p>
          <w:p w:rsidR="00210A57" w:rsidRPr="00EF0185" w:rsidRDefault="00210A57" w:rsidP="000B70D1">
            <w:pPr>
              <w:pStyle w:val="Bezmezer"/>
            </w:pPr>
          </w:p>
        </w:tc>
        <w:tc>
          <w:tcPr>
            <w:tcW w:w="1936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1323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995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850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851" w:type="dxa"/>
          </w:tcPr>
          <w:p w:rsidR="00210A57" w:rsidRPr="00EF0185" w:rsidRDefault="00210A57" w:rsidP="000B70D1">
            <w:pPr>
              <w:pStyle w:val="Bezmezer"/>
            </w:pPr>
          </w:p>
        </w:tc>
        <w:tc>
          <w:tcPr>
            <w:tcW w:w="1950" w:type="dxa"/>
          </w:tcPr>
          <w:p w:rsidR="00210A57" w:rsidRPr="00EF0185" w:rsidRDefault="00210A57" w:rsidP="000B70D1">
            <w:pPr>
              <w:pStyle w:val="Bezmezer"/>
            </w:pPr>
          </w:p>
        </w:tc>
      </w:tr>
    </w:tbl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*) Nehodící se škrtněte.</w:t>
      </w:r>
    </w:p>
    <w:p w:rsidR="00210A57" w:rsidRPr="00EF0185" w:rsidRDefault="00210A57" w:rsidP="00210A57">
      <w:pPr>
        <w:pStyle w:val="Bezmezer"/>
      </w:pP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Sloupec „</w:t>
      </w:r>
      <w:proofErr w:type="spellStart"/>
      <w:r w:rsidRPr="00EF0185">
        <w:rPr>
          <w:rFonts w:ascii="Times New Roman" w:hAnsi="Times New Roman" w:cs="Times New Roman"/>
        </w:rPr>
        <w:t>Poř</w:t>
      </w:r>
      <w:proofErr w:type="spellEnd"/>
      <w:r w:rsidRPr="00EF0185">
        <w:rPr>
          <w:rFonts w:ascii="Times New Roman" w:hAnsi="Times New Roman" w:cs="Times New Roman"/>
        </w:rPr>
        <w:t>. číslo“</w:t>
      </w:r>
    </w:p>
    <w:p w:rsidR="00210A57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 xml:space="preserve">Uvede se zkratka stupně utajení a pořadové číslo dokumentu ve sběrném archu, které se stává součástí čísla jednacího/jiného evidenčního označení utajovaného dokumentu. </w:t>
      </w:r>
    </w:p>
    <w:p w:rsidR="00210A57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Sloupec „Dne“</w:t>
      </w: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 xml:space="preserve">Uvede se datum, kdy byl utajovaný dokument do sběrného archu zapsán nebo, kdy bylo vlastnímu utajovanému dokumentu ze sběrného archu přiděleno číslo jednací/jiné evidenční označení. </w:t>
      </w: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Sloupec „Odesílatel/adresát“</w:t>
      </w: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Uvede se odesílatel u doručeného dokumentu, nebo adresát u odesílaného dokumentu. Je-li adresátů více, uvede se „podle rozdělovníku“. Může se uvést i název dokumentu.</w:t>
      </w:r>
    </w:p>
    <w:p w:rsidR="00210A57" w:rsidRPr="00EF0185" w:rsidRDefault="00210A57" w:rsidP="00210A57">
      <w:pPr>
        <w:pStyle w:val="Vlastn"/>
        <w:overflowPunct w:val="0"/>
        <w:spacing w:line="240" w:lineRule="auto"/>
        <w:textAlignment w:val="auto"/>
      </w:pP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Sloupec „</w:t>
      </w:r>
      <w:proofErr w:type="gramStart"/>
      <w:r w:rsidRPr="00EF0185">
        <w:rPr>
          <w:rFonts w:ascii="Times New Roman" w:hAnsi="Times New Roman" w:cs="Times New Roman"/>
        </w:rPr>
        <w:t>Č.j.</w:t>
      </w:r>
      <w:proofErr w:type="gramEnd"/>
      <w:r w:rsidRPr="00EF018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jiné </w:t>
      </w:r>
      <w:r w:rsidRPr="00EF0185">
        <w:rPr>
          <w:rFonts w:ascii="Times New Roman" w:hAnsi="Times New Roman" w:cs="Times New Roman"/>
        </w:rPr>
        <w:t xml:space="preserve">ev. </w:t>
      </w:r>
      <w:proofErr w:type="spellStart"/>
      <w:r w:rsidRPr="00EF0185">
        <w:rPr>
          <w:rFonts w:ascii="Times New Roman" w:hAnsi="Times New Roman" w:cs="Times New Roman"/>
        </w:rPr>
        <w:t>ozn</w:t>
      </w:r>
      <w:proofErr w:type="spellEnd"/>
      <w:r w:rsidRPr="00EF0185">
        <w:rPr>
          <w:rFonts w:ascii="Times New Roman" w:hAnsi="Times New Roman" w:cs="Times New Roman"/>
        </w:rPr>
        <w:t>.“</w:t>
      </w: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Uvede se číslo jednací/ jiné evidenční označení odesílatele, u vlastního dokumentu se uvede „vlastní“. V případě, že se do sběrného archu zapisuje dokument, který již byl zaevidován pod jiným číslem jednacím/ jiným evidenčním označením a přeeviduje se k číslu jednacímu/jinému evidenčnímu označení sběrného archu, uvede se i toto předchozí číslo jednací/jiné evidenční označení.</w:t>
      </w: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Sloupce „Počet listů“, „</w:t>
      </w:r>
      <w:proofErr w:type="spellStart"/>
      <w:r w:rsidRPr="00EF0185">
        <w:rPr>
          <w:rFonts w:ascii="Times New Roman" w:hAnsi="Times New Roman" w:cs="Times New Roman"/>
        </w:rPr>
        <w:t>přij</w:t>
      </w:r>
      <w:proofErr w:type="spellEnd"/>
      <w:r w:rsidRPr="00EF0185">
        <w:rPr>
          <w:rFonts w:ascii="Times New Roman" w:hAnsi="Times New Roman" w:cs="Times New Roman"/>
        </w:rPr>
        <w:t>./</w:t>
      </w:r>
      <w:proofErr w:type="spellStart"/>
      <w:r w:rsidRPr="00EF0185">
        <w:rPr>
          <w:rFonts w:ascii="Times New Roman" w:hAnsi="Times New Roman" w:cs="Times New Roman"/>
        </w:rPr>
        <w:t>vyhot</w:t>
      </w:r>
      <w:proofErr w:type="spellEnd"/>
      <w:r w:rsidRPr="00EF0185">
        <w:rPr>
          <w:rFonts w:ascii="Times New Roman" w:hAnsi="Times New Roman" w:cs="Times New Roman"/>
        </w:rPr>
        <w:t>.“, „</w:t>
      </w:r>
      <w:proofErr w:type="spellStart"/>
      <w:r w:rsidRPr="00EF0185">
        <w:rPr>
          <w:rFonts w:ascii="Times New Roman" w:hAnsi="Times New Roman" w:cs="Times New Roman"/>
        </w:rPr>
        <w:t>odesl</w:t>
      </w:r>
      <w:proofErr w:type="spellEnd"/>
      <w:r w:rsidRPr="00EF0185">
        <w:rPr>
          <w:rFonts w:ascii="Times New Roman" w:hAnsi="Times New Roman" w:cs="Times New Roman"/>
        </w:rPr>
        <w:t>.“ a „ulož.“</w:t>
      </w:r>
    </w:p>
    <w:p w:rsidR="00210A57" w:rsidRPr="00EF0185" w:rsidRDefault="00210A57" w:rsidP="00210A5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Uvádí se počet listů přijatého nebo vyhotoveného utajovaného dokumentu a dále odeslaného nebo ukládaného utajovaného dokumentu. Jsou-li k</w:t>
      </w:r>
      <w:r>
        <w:rPr>
          <w:rFonts w:ascii="Times New Roman" w:hAnsi="Times New Roman" w:cs="Times New Roman"/>
        </w:rPr>
        <w:t xml:space="preserve"> přijatému nebo vyhotovenému </w:t>
      </w:r>
      <w:r w:rsidRPr="00EF0185">
        <w:rPr>
          <w:rFonts w:ascii="Times New Roman" w:hAnsi="Times New Roman" w:cs="Times New Roman"/>
        </w:rPr>
        <w:t>utajovanému dokumentu připojeny přílohy, zapíše se jejich počet a celkový počet jejich listů zlomkem, kdy čitatelem je počet příloh a jmenovatelem celkový počet jejich listů. U příloh v nelistinné podobě a utajovaných dokumentů v nelistinné podobě (diskety, videokazety, CD a jiné materiály) se uvede jejich počet, druh, případně jiné evidenční označení.</w:t>
      </w:r>
      <w:r>
        <w:rPr>
          <w:rFonts w:ascii="Times New Roman" w:hAnsi="Times New Roman" w:cs="Times New Roman"/>
        </w:rPr>
        <w:t xml:space="preserve"> Ve sloupci „odesláno“ a „uloženo“ se uvádí celkový počet listů a druh a počet příloh v nelistinné podobě.</w:t>
      </w:r>
    </w:p>
    <w:p w:rsidR="00210A57" w:rsidRDefault="00210A57" w:rsidP="00210A57">
      <w:pPr>
        <w:pStyle w:val="Bezmezer"/>
      </w:pPr>
    </w:p>
    <w:p w:rsidR="00210A57" w:rsidRPr="00EF0185" w:rsidRDefault="00210A57" w:rsidP="00210A57">
      <w:pPr>
        <w:pStyle w:val="Bezmezer"/>
      </w:pPr>
    </w:p>
    <w:p w:rsidR="00210A57" w:rsidRPr="00EF0185" w:rsidRDefault="00210A57" w:rsidP="00210A57">
      <w:pPr>
        <w:pStyle w:val="Bezmezer"/>
      </w:pPr>
      <w:r w:rsidRPr="00EF0185">
        <w:lastRenderedPageBreak/>
        <w:t>Sloupec „Poznámka“</w:t>
      </w:r>
    </w:p>
    <w:p w:rsidR="00210A57" w:rsidRPr="00EF0185" w:rsidRDefault="00210A57" w:rsidP="00210A57">
      <w:pPr>
        <w:pStyle w:val="Tlotextu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Uvede se způsob vyřízení</w:t>
      </w:r>
      <w:r>
        <w:rPr>
          <w:rFonts w:ascii="Times New Roman" w:hAnsi="Times New Roman" w:cs="Times New Roman"/>
        </w:rPr>
        <w:t xml:space="preserve"> </w:t>
      </w:r>
      <w:r w:rsidRPr="00EF018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dokumentem</w:t>
      </w:r>
      <w:r w:rsidRPr="00EF0185">
        <w:rPr>
          <w:rFonts w:ascii="Times New Roman" w:hAnsi="Times New Roman" w:cs="Times New Roman"/>
        </w:rPr>
        <w:t>“, „</w:t>
      </w:r>
      <w:r>
        <w:rPr>
          <w:rFonts w:ascii="Times New Roman" w:hAnsi="Times New Roman" w:cs="Times New Roman"/>
        </w:rPr>
        <w:t>postoupením</w:t>
      </w:r>
      <w:r w:rsidRPr="00EF0185">
        <w:rPr>
          <w:rFonts w:ascii="Times New Roman" w:hAnsi="Times New Roman" w:cs="Times New Roman"/>
        </w:rPr>
        <w:t>“, „</w:t>
      </w:r>
      <w:r>
        <w:rPr>
          <w:rFonts w:ascii="Times New Roman" w:hAnsi="Times New Roman" w:cs="Times New Roman"/>
        </w:rPr>
        <w:t>vzetím na vědomí</w:t>
      </w:r>
      <w:r w:rsidRPr="00EF0185">
        <w:rPr>
          <w:rFonts w:ascii="Times New Roman" w:hAnsi="Times New Roman" w:cs="Times New Roman"/>
        </w:rPr>
        <w:t xml:space="preserve">“, „záznamem na dokumentu“ </w:t>
      </w:r>
      <w:r>
        <w:rPr>
          <w:rFonts w:ascii="Times New Roman" w:hAnsi="Times New Roman" w:cs="Times New Roman"/>
        </w:rPr>
        <w:t>nebo jiným vhodným způsobem</w:t>
      </w:r>
      <w:r w:rsidRPr="00EF0185">
        <w:rPr>
          <w:rFonts w:ascii="Times New Roman" w:hAnsi="Times New Roman" w:cs="Times New Roman"/>
        </w:rPr>
        <w:t xml:space="preserve">. Při změně nebo zrušení stupně utajení se </w:t>
      </w:r>
      <w:r>
        <w:rPr>
          <w:rFonts w:ascii="Times New Roman" w:hAnsi="Times New Roman" w:cs="Times New Roman"/>
        </w:rPr>
        <w:t>uvede „stupeň utajení změněn na</w:t>
      </w:r>
      <w:r w:rsidRPr="00EF0185">
        <w:rPr>
          <w:rFonts w:ascii="Times New Roman" w:hAnsi="Times New Roman" w:cs="Times New Roman"/>
        </w:rPr>
        <w:t>“ nebo „stupeň utajení zrušen“</w:t>
      </w:r>
      <w:r>
        <w:rPr>
          <w:rFonts w:ascii="Times New Roman" w:hAnsi="Times New Roman" w:cs="Times New Roman"/>
        </w:rPr>
        <w:t xml:space="preserve"> a dále se uvede</w:t>
      </w:r>
      <w:r w:rsidRPr="00EF0185">
        <w:rPr>
          <w:rFonts w:ascii="Times New Roman" w:hAnsi="Times New Roman" w:cs="Times New Roman"/>
        </w:rPr>
        <w:t xml:space="preserve"> datum</w:t>
      </w:r>
      <w:r>
        <w:rPr>
          <w:rFonts w:ascii="Times New Roman" w:hAnsi="Times New Roman" w:cs="Times New Roman"/>
        </w:rPr>
        <w:t xml:space="preserve"> a </w:t>
      </w:r>
      <w:r w:rsidRPr="00EF0185">
        <w:rPr>
          <w:rFonts w:ascii="Times New Roman" w:hAnsi="Times New Roman" w:cs="Times New Roman"/>
        </w:rPr>
        <w:t>případný odkaz na číslo jednací nebo jiné evidenční označení, pod kterým byl dokument nově zaevidován.</w:t>
      </w:r>
      <w:r>
        <w:rPr>
          <w:rFonts w:ascii="Times New Roman" w:hAnsi="Times New Roman" w:cs="Times New Roman"/>
        </w:rPr>
        <w:t xml:space="preserve"> U odeslaného utajovaného dokumentu se uvede datum a způsob odeslání.</w:t>
      </w:r>
    </w:p>
    <w:p w:rsidR="00B22361" w:rsidRDefault="00210A57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57"/>
    <w:rsid w:val="00210A57"/>
    <w:rsid w:val="00691D75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A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210A57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210A57"/>
    <w:pPr>
      <w:jc w:val="both"/>
    </w:pPr>
  </w:style>
  <w:style w:type="paragraph" w:customStyle="1" w:styleId="Vlastn">
    <w:name w:val="Vlastní"/>
    <w:basedOn w:val="Vchozstyl"/>
    <w:rsid w:val="00210A57"/>
    <w:pPr>
      <w:jc w:val="both"/>
      <w:textAlignment w:val="baseline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210A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A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210A57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210A57"/>
    <w:pPr>
      <w:jc w:val="both"/>
    </w:pPr>
  </w:style>
  <w:style w:type="paragraph" w:customStyle="1" w:styleId="Vlastn">
    <w:name w:val="Vlastní"/>
    <w:basedOn w:val="Vchozstyl"/>
    <w:rsid w:val="00210A57"/>
    <w:pPr>
      <w:jc w:val="both"/>
      <w:textAlignment w:val="baseline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210A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2015-12-16T09:51:00Z</dcterms:created>
  <dcterms:modified xsi:type="dcterms:W3CDTF">2015-12-16T09:59:00Z</dcterms:modified>
</cp:coreProperties>
</file>