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000F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ZÁKON </w:t>
      </w:r>
      <w:r>
        <w:rPr>
          <w:rFonts w:ascii="Arial" w:hAnsi="Arial"/>
          <w:b/>
        </w:rPr>
        <w:t>č</w:t>
      </w:r>
      <w:r>
        <w:rPr>
          <w:rFonts w:ascii="Arial" w:hAnsi="Arial"/>
          <w:b/>
        </w:rPr>
        <w:t>. 167 ze dne 25. dubna 2012, kterým se m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 xml:space="preserve">ní zákon </w:t>
      </w:r>
      <w:r>
        <w:rPr>
          <w:rFonts w:ascii="Arial" w:hAnsi="Arial"/>
          <w:b/>
        </w:rPr>
        <w:t>č</w:t>
      </w:r>
      <w:r>
        <w:rPr>
          <w:rFonts w:ascii="Arial" w:hAnsi="Arial"/>
          <w:b/>
        </w:rPr>
        <w:t xml:space="preserve">. </w:t>
      </w:r>
      <w:r>
        <w:rPr>
          <w:rStyle w:val="Hypertextovodkaz"/>
          <w:rFonts w:ascii="Arial" w:hAnsi="Arial"/>
          <w:b/>
          <w:color w:val="auto"/>
          <w:u w:val="none"/>
        </w:rPr>
        <w:t>499/2004 Sb.</w:t>
      </w:r>
      <w:r>
        <w:rPr>
          <w:rFonts w:ascii="Arial" w:hAnsi="Arial"/>
          <w:b/>
        </w:rPr>
        <w:t>, o archivnictví a spisové slu</w:t>
      </w:r>
      <w:r>
        <w:rPr>
          <w:rFonts w:ascii="Arial" w:hAnsi="Arial"/>
          <w:b/>
        </w:rPr>
        <w:t>ž</w:t>
      </w:r>
      <w:r>
        <w:rPr>
          <w:rFonts w:ascii="Arial" w:hAnsi="Arial"/>
          <w:b/>
        </w:rPr>
        <w:t>b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 xml:space="preserve"> a o zm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n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 xml:space="preserve"> n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kterých zákon</w:t>
      </w:r>
      <w:r>
        <w:rPr>
          <w:rFonts w:ascii="Arial" w:hAnsi="Arial"/>
          <w:b/>
        </w:rPr>
        <w:t>ů</w:t>
      </w:r>
      <w:r>
        <w:rPr>
          <w:rFonts w:ascii="Arial" w:hAnsi="Arial"/>
          <w:b/>
        </w:rPr>
        <w:t>, ve zn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ní pozd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j</w:t>
      </w:r>
      <w:r>
        <w:rPr>
          <w:rFonts w:ascii="Arial" w:hAnsi="Arial"/>
          <w:b/>
        </w:rPr>
        <w:t>š</w:t>
      </w:r>
      <w:r>
        <w:rPr>
          <w:rFonts w:ascii="Arial" w:hAnsi="Arial"/>
          <w:b/>
        </w:rPr>
        <w:t>ích p</w:t>
      </w:r>
      <w:r>
        <w:rPr>
          <w:rFonts w:ascii="Arial" w:hAnsi="Arial"/>
          <w:b/>
        </w:rPr>
        <w:t>ř</w:t>
      </w:r>
      <w:r>
        <w:rPr>
          <w:rFonts w:ascii="Arial" w:hAnsi="Arial"/>
          <w:b/>
        </w:rPr>
        <w:t>edpis</w:t>
      </w:r>
      <w:r>
        <w:rPr>
          <w:rFonts w:ascii="Arial" w:hAnsi="Arial"/>
          <w:b/>
        </w:rPr>
        <w:t>ů</w:t>
      </w:r>
      <w:r>
        <w:rPr>
          <w:rFonts w:ascii="Arial" w:hAnsi="Arial"/>
          <w:b/>
        </w:rPr>
        <w:t xml:space="preserve">, zákon </w:t>
      </w:r>
      <w:r>
        <w:rPr>
          <w:rFonts w:ascii="Arial" w:hAnsi="Arial"/>
          <w:b/>
        </w:rPr>
        <w:t>č</w:t>
      </w:r>
      <w:r>
        <w:rPr>
          <w:rFonts w:ascii="Arial" w:hAnsi="Arial"/>
          <w:b/>
        </w:rPr>
        <w:t xml:space="preserve">. </w:t>
      </w:r>
      <w:r>
        <w:rPr>
          <w:rStyle w:val="Hypertextovodkaz"/>
          <w:rFonts w:ascii="Arial" w:hAnsi="Arial"/>
          <w:b/>
          <w:color w:val="auto"/>
          <w:u w:val="none"/>
        </w:rPr>
        <w:t>227/2000 Sb.</w:t>
      </w:r>
      <w:r>
        <w:rPr>
          <w:rFonts w:ascii="Arial" w:hAnsi="Arial"/>
          <w:b/>
        </w:rPr>
        <w:t>, o elektronickém podpisu a o zm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n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 xml:space="preserve"> n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kterých dal</w:t>
      </w:r>
      <w:r>
        <w:rPr>
          <w:rFonts w:ascii="Arial" w:hAnsi="Arial"/>
          <w:b/>
        </w:rPr>
        <w:t>š</w:t>
      </w:r>
      <w:r>
        <w:rPr>
          <w:rFonts w:ascii="Arial" w:hAnsi="Arial"/>
          <w:b/>
        </w:rPr>
        <w:t>ích zákon</w:t>
      </w:r>
      <w:r>
        <w:rPr>
          <w:rFonts w:ascii="Arial" w:hAnsi="Arial"/>
          <w:b/>
        </w:rPr>
        <w:t>ů</w:t>
      </w:r>
      <w:r>
        <w:rPr>
          <w:rFonts w:ascii="Arial" w:hAnsi="Arial"/>
          <w:b/>
        </w:rPr>
        <w:t xml:space="preserve"> (zákon o </w:t>
      </w:r>
      <w:r>
        <w:rPr>
          <w:rFonts w:ascii="Arial" w:hAnsi="Arial"/>
          <w:b/>
        </w:rPr>
        <w:t>elektronickém podpisu), ve zn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ní pozd</w:t>
      </w:r>
      <w:r>
        <w:rPr>
          <w:rFonts w:ascii="Arial" w:hAnsi="Arial"/>
          <w:b/>
        </w:rPr>
        <w:t>ě</w:t>
      </w:r>
      <w:r>
        <w:rPr>
          <w:rFonts w:ascii="Arial" w:hAnsi="Arial"/>
          <w:b/>
        </w:rPr>
        <w:t>j</w:t>
      </w:r>
      <w:r>
        <w:rPr>
          <w:rFonts w:ascii="Arial" w:hAnsi="Arial"/>
          <w:b/>
        </w:rPr>
        <w:t>š</w:t>
      </w:r>
      <w:r>
        <w:rPr>
          <w:rFonts w:ascii="Arial" w:hAnsi="Arial"/>
          <w:b/>
        </w:rPr>
        <w:t>ích p</w:t>
      </w:r>
      <w:r>
        <w:rPr>
          <w:rFonts w:ascii="Arial" w:hAnsi="Arial"/>
          <w:b/>
        </w:rPr>
        <w:t>ř</w:t>
      </w:r>
      <w:r>
        <w:rPr>
          <w:rFonts w:ascii="Arial" w:hAnsi="Arial"/>
          <w:b/>
        </w:rPr>
        <w:t>edpis</w:t>
      </w:r>
      <w:r>
        <w:rPr>
          <w:rFonts w:ascii="Arial" w:hAnsi="Arial"/>
          <w:b/>
        </w:rPr>
        <w:t>ů</w:t>
      </w:r>
      <w:r>
        <w:rPr>
          <w:rFonts w:ascii="Arial" w:hAnsi="Arial"/>
          <w:b/>
        </w:rPr>
        <w:t>, a dal</w:t>
      </w:r>
      <w:r>
        <w:rPr>
          <w:rFonts w:ascii="Arial" w:hAnsi="Arial"/>
          <w:b/>
        </w:rPr>
        <w:t>š</w:t>
      </w:r>
      <w:r>
        <w:rPr>
          <w:rFonts w:ascii="Arial" w:hAnsi="Arial"/>
          <w:b/>
        </w:rPr>
        <w:t>í související zákony</w:t>
      </w:r>
    </w:p>
    <w:p w:rsidR="00000000" w:rsidRDefault="0076000F" w:rsidP="00205364">
      <w:pPr>
        <w:pStyle w:val="Nadpis1"/>
        <w:tabs>
          <w:tab w:val="left" w:pos="0"/>
        </w:tabs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Č</w:t>
      </w:r>
      <w:r>
        <w:rPr>
          <w:rFonts w:ascii="Arial" w:hAnsi="Arial"/>
          <w:b w:val="0"/>
          <w:sz w:val="24"/>
        </w:rPr>
        <w:t>l. XXIX</w:t>
      </w:r>
    </w:p>
    <w:p w:rsidR="00000000" w:rsidRDefault="0076000F">
      <w:pPr>
        <w:pStyle w:val="Zkladntext"/>
        <w:widowControl/>
        <w:spacing w:after="0" w:line="240" w:lineRule="atLeast"/>
        <w:ind w:firstLine="288"/>
        <w:jc w:val="both"/>
        <w:rPr>
          <w:rFonts w:ascii="Arial" w:hAnsi="Arial"/>
        </w:rPr>
      </w:pPr>
      <w:r>
        <w:rPr>
          <w:rFonts w:ascii="Arial" w:hAnsi="Arial"/>
        </w:rPr>
        <w:t xml:space="preserve">Zákon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412/2005 Sb.</w:t>
      </w:r>
      <w:r>
        <w:rPr>
          <w:rFonts w:ascii="Arial" w:hAnsi="Arial"/>
        </w:rPr>
        <w:t>, o ochran</w:t>
      </w:r>
      <w:r>
        <w:rPr>
          <w:rFonts w:ascii="Arial" w:hAnsi="Arial"/>
        </w:rPr>
        <w:t>ě</w:t>
      </w:r>
      <w:r>
        <w:rPr>
          <w:rFonts w:ascii="Arial" w:hAnsi="Arial"/>
        </w:rPr>
        <w:t xml:space="preserve"> utajovaných </w:t>
      </w:r>
      <w:r>
        <w:rPr>
          <w:rFonts w:ascii="Arial" w:hAnsi="Arial"/>
        </w:rPr>
        <w:t xml:space="preserve">informací </w:t>
      </w:r>
      <w:r>
        <w:rPr>
          <w:rFonts w:ascii="Arial" w:hAnsi="Arial"/>
        </w:rPr>
        <w:t>a o bezpe</w:t>
      </w:r>
      <w:r>
        <w:rPr>
          <w:rFonts w:ascii="Arial" w:hAnsi="Arial"/>
        </w:rPr>
        <w:t>č</w:t>
      </w:r>
      <w:r>
        <w:rPr>
          <w:rFonts w:ascii="Arial" w:hAnsi="Arial"/>
        </w:rPr>
        <w:t>nostní zp</w:t>
      </w:r>
      <w:r>
        <w:rPr>
          <w:rFonts w:ascii="Arial" w:hAnsi="Arial"/>
        </w:rPr>
        <w:t>ů</w:t>
      </w:r>
      <w:r>
        <w:rPr>
          <w:rFonts w:ascii="Arial" w:hAnsi="Arial"/>
        </w:rPr>
        <w:t>sobilosti, ve zn</w:t>
      </w:r>
      <w:r>
        <w:rPr>
          <w:rFonts w:ascii="Arial" w:hAnsi="Arial"/>
        </w:rPr>
        <w:t>ě</w:t>
      </w:r>
      <w:r>
        <w:rPr>
          <w:rFonts w:ascii="Arial" w:hAnsi="Arial"/>
        </w:rPr>
        <w:t xml:space="preserve">ní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119/2007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177/2007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296/2007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32/2008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124/2008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126/2008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250/2008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41/2009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227/2009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281/2009 Sb.</w:t>
      </w:r>
      <w:r w:rsidR="00205364">
        <w:rPr>
          <w:rStyle w:val="Hypertextovodkaz"/>
          <w:rFonts w:ascii="Arial" w:hAnsi="Arial"/>
          <w:color w:val="auto"/>
          <w:u w:val="none"/>
          <w:lang w:val="cs-CZ"/>
        </w:rPr>
        <w:t xml:space="preserve"> </w:t>
      </w:r>
      <w:r>
        <w:rPr>
          <w:rFonts w:ascii="Arial" w:hAnsi="Arial"/>
        </w:rPr>
        <w:t xml:space="preserve">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255/2011 Sb.</w:t>
      </w:r>
      <w:r>
        <w:rPr>
          <w:rFonts w:ascii="Arial" w:hAnsi="Arial"/>
        </w:rPr>
        <w:t xml:space="preserve">,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420/2011 Sb. a</w:t>
      </w:r>
      <w:r>
        <w:rPr>
          <w:rFonts w:ascii="Arial" w:hAnsi="Arial"/>
        </w:rPr>
        <w:t xml:space="preserve"> zákona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>
        <w:rPr>
          <w:rStyle w:val="Hypertextovodkaz"/>
          <w:rFonts w:ascii="Arial" w:hAnsi="Arial"/>
          <w:color w:val="auto"/>
          <w:u w:val="none"/>
        </w:rPr>
        <w:t>458/2011 Sb.</w:t>
      </w:r>
      <w:r>
        <w:rPr>
          <w:rFonts w:ascii="Arial" w:hAnsi="Arial"/>
        </w:rPr>
        <w:t>, se m</w:t>
      </w:r>
      <w:r>
        <w:rPr>
          <w:rFonts w:ascii="Arial" w:hAnsi="Arial"/>
        </w:rPr>
        <w:t>ě</w:t>
      </w:r>
      <w:r>
        <w:rPr>
          <w:rFonts w:ascii="Arial" w:hAnsi="Arial"/>
        </w:rPr>
        <w:t>ní takto:</w:t>
      </w:r>
    </w:p>
    <w:p w:rsidR="00000000" w:rsidRDefault="0076000F">
      <w:pPr>
        <w:pStyle w:val="Zkladntext"/>
        <w:widowControl/>
        <w:spacing w:after="0" w:line="240" w:lineRule="atLeast"/>
        <w:ind w:firstLine="288"/>
        <w:jc w:val="both"/>
        <w:rPr>
          <w:rFonts w:ascii="Arial" w:hAnsi="Arial"/>
        </w:rPr>
      </w:pPr>
    </w:p>
    <w:p w:rsidR="00000000" w:rsidRDefault="0076000F" w:rsidP="00205364">
      <w:pPr>
        <w:pStyle w:val="Obsahtabulky"/>
        <w:widowControl/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. V § 46 odst. 4 písm. g) a v § 46 odst. 5 písm. d) se za slovo „podob</w:t>
      </w:r>
      <w:r>
        <w:rPr>
          <w:rFonts w:ascii="Arial" w:hAnsi="Arial"/>
        </w:rPr>
        <w:t>ě</w:t>
      </w:r>
      <w:r>
        <w:rPr>
          <w:rFonts w:ascii="Arial" w:hAnsi="Arial"/>
        </w:rPr>
        <w:t>“ vkládá slovo „uznávaný“.</w:t>
      </w:r>
    </w:p>
    <w:p w:rsidR="00000000" w:rsidRDefault="0076000F" w:rsidP="00205364">
      <w:pPr>
        <w:pStyle w:val="Obsahtabulky"/>
        <w:widowControl/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. V § 54 odst. 2 písm. g) a v § 54 odst. 3 písm. e) se za slovo „podob</w:t>
      </w:r>
      <w:r>
        <w:rPr>
          <w:rFonts w:ascii="Arial" w:hAnsi="Arial"/>
        </w:rPr>
        <w:t>ě</w:t>
      </w:r>
      <w:r>
        <w:rPr>
          <w:rFonts w:ascii="Arial" w:hAnsi="Arial"/>
        </w:rPr>
        <w:t>“ vkládá slovo „uznávaný“.</w:t>
      </w:r>
    </w:p>
    <w:p w:rsidR="00000000" w:rsidRPr="00205364" w:rsidRDefault="0076000F" w:rsidP="00205364">
      <w:pPr>
        <w:pStyle w:val="Obsahtabulky"/>
        <w:widowControl/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. V § 62 </w:t>
      </w:r>
      <w:r w:rsidRPr="00205364">
        <w:rPr>
          <w:rFonts w:ascii="Arial" w:hAnsi="Arial"/>
        </w:rPr>
        <w:t>odst. 5 písm. f) se za slovo „podob</w:t>
      </w:r>
      <w:r w:rsidRPr="00205364">
        <w:rPr>
          <w:rFonts w:ascii="Arial" w:hAnsi="Arial"/>
        </w:rPr>
        <w:t>ě</w:t>
      </w:r>
      <w:r w:rsidRPr="00205364">
        <w:rPr>
          <w:rFonts w:ascii="Arial" w:hAnsi="Arial"/>
        </w:rPr>
        <w:t>“ vkládá slovo „uznávaný“.</w:t>
      </w:r>
    </w:p>
    <w:p w:rsidR="00000000" w:rsidRPr="00205364" w:rsidRDefault="0076000F" w:rsidP="00205364">
      <w:pPr>
        <w:pStyle w:val="Obsahtabulky"/>
        <w:widowControl/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Arial" w:hAnsi="Arial"/>
        </w:rPr>
      </w:pPr>
      <w:r w:rsidRPr="00205364">
        <w:rPr>
          <w:rFonts w:ascii="Arial" w:hAnsi="Arial"/>
        </w:rPr>
        <w:t>. V § 85 odst. 2 písm. f) se za slovo „podob</w:t>
      </w:r>
      <w:r w:rsidRPr="00205364">
        <w:rPr>
          <w:rFonts w:ascii="Arial" w:hAnsi="Arial"/>
        </w:rPr>
        <w:t>ě</w:t>
      </w:r>
      <w:r w:rsidRPr="00205364">
        <w:rPr>
          <w:rFonts w:ascii="Arial" w:hAnsi="Arial"/>
        </w:rPr>
        <w:t>“ vkládá slovo „uznávaný“.</w:t>
      </w:r>
    </w:p>
    <w:p w:rsidR="00000000" w:rsidRPr="00205364" w:rsidRDefault="0076000F" w:rsidP="00205364">
      <w:pPr>
        <w:pStyle w:val="Obsahtabulky"/>
        <w:widowControl/>
        <w:numPr>
          <w:ilvl w:val="0"/>
          <w:numId w:val="2"/>
        </w:numPr>
        <w:tabs>
          <w:tab w:val="left" w:pos="0"/>
        </w:tabs>
        <w:spacing w:line="240" w:lineRule="atLeast"/>
        <w:jc w:val="both"/>
      </w:pPr>
      <w:r w:rsidRPr="00205364">
        <w:rPr>
          <w:rFonts w:ascii="Arial" w:hAnsi="Arial"/>
        </w:rPr>
        <w:t xml:space="preserve">. V § 89 odst. 8 se </w:t>
      </w:r>
      <w:proofErr w:type="gramStart"/>
      <w:r w:rsidRPr="00205364">
        <w:rPr>
          <w:rFonts w:ascii="Arial" w:hAnsi="Arial"/>
        </w:rPr>
        <w:t>slova</w:t>
      </w:r>
      <w:proofErr w:type="gramEnd"/>
      <w:r w:rsidRPr="00205364">
        <w:rPr>
          <w:rFonts w:ascii="Arial" w:hAnsi="Arial"/>
        </w:rPr>
        <w:t xml:space="preserve"> „zaru</w:t>
      </w:r>
      <w:r w:rsidRPr="00205364">
        <w:rPr>
          <w:rFonts w:ascii="Arial" w:hAnsi="Arial"/>
        </w:rPr>
        <w:t>č</w:t>
      </w:r>
      <w:r w:rsidRPr="00205364">
        <w:rPr>
          <w:rFonts w:ascii="Arial" w:hAnsi="Arial"/>
        </w:rPr>
        <w:t xml:space="preserve">eným </w:t>
      </w:r>
      <w:r w:rsidRPr="00205364">
        <w:rPr>
          <w:rFonts w:ascii="Arial" w:hAnsi="Arial"/>
        </w:rPr>
        <w:t xml:space="preserve">elektronickým podpisem </w:t>
      </w:r>
      <w:r w:rsidRPr="00205364">
        <w:rPr>
          <w:rFonts w:ascii="Arial" w:hAnsi="Arial"/>
        </w:rPr>
        <w:t>zalo</w:t>
      </w:r>
      <w:r w:rsidRPr="00205364">
        <w:rPr>
          <w:rFonts w:ascii="Arial" w:hAnsi="Arial"/>
        </w:rPr>
        <w:t>ž</w:t>
      </w:r>
      <w:r w:rsidRPr="00205364">
        <w:rPr>
          <w:rFonts w:ascii="Arial" w:hAnsi="Arial"/>
        </w:rPr>
        <w:t xml:space="preserve">eným na </w:t>
      </w:r>
      <w:r w:rsidRPr="00205364">
        <w:rPr>
          <w:rStyle w:val="Hypertextovodkaz"/>
          <w:rFonts w:ascii="Arial" w:hAnsi="Arial"/>
          <w:color w:val="auto"/>
          <w:u w:val="none"/>
        </w:rPr>
        <w:t>kvalifikovaném certifikátu</w:t>
      </w:r>
      <w:r w:rsidR="00205364">
        <w:rPr>
          <w:rStyle w:val="Hypertextovodkaz"/>
          <w:rFonts w:ascii="Arial" w:hAnsi="Arial"/>
          <w:color w:val="auto"/>
          <w:u w:val="none"/>
          <w:lang w:val="cs-CZ"/>
        </w:rPr>
        <w:t xml:space="preserve"> </w:t>
      </w:r>
      <w:r w:rsidRPr="00205364">
        <w:rPr>
          <w:rFonts w:ascii="Arial" w:hAnsi="Arial"/>
        </w:rPr>
        <w:t>vydaném akreditovaným poskytovatelem certifika</w:t>
      </w:r>
      <w:r w:rsidRPr="00205364">
        <w:rPr>
          <w:rFonts w:ascii="Arial" w:hAnsi="Arial"/>
        </w:rPr>
        <w:t>č</w:t>
      </w:r>
      <w:r w:rsidRPr="00205364">
        <w:rPr>
          <w:rFonts w:ascii="Arial" w:hAnsi="Arial"/>
        </w:rPr>
        <w:t>ních slu</w:t>
      </w:r>
      <w:r w:rsidRPr="00205364">
        <w:rPr>
          <w:rFonts w:ascii="Arial" w:hAnsi="Arial"/>
        </w:rPr>
        <w:t>ž</w:t>
      </w:r>
      <w:r w:rsidRPr="00205364">
        <w:rPr>
          <w:rFonts w:ascii="Arial" w:hAnsi="Arial"/>
        </w:rPr>
        <w:t>eb; tohoto posky</w:t>
      </w:r>
      <w:r w:rsidRPr="00205364">
        <w:rPr>
          <w:rFonts w:ascii="Arial" w:hAnsi="Arial"/>
        </w:rPr>
        <w:t>tovatele je t</w:t>
      </w:r>
      <w:r w:rsidRPr="00205364">
        <w:rPr>
          <w:rFonts w:ascii="Arial" w:hAnsi="Arial"/>
        </w:rPr>
        <w:t>ř</w:t>
      </w:r>
      <w:r w:rsidRPr="00205364">
        <w:rPr>
          <w:rFonts w:ascii="Arial" w:hAnsi="Arial"/>
        </w:rPr>
        <w:t>eba zárove</w:t>
      </w:r>
      <w:r w:rsidRPr="00205364">
        <w:rPr>
          <w:rFonts w:ascii="Arial" w:hAnsi="Arial"/>
        </w:rPr>
        <w:t>ň</w:t>
      </w:r>
      <w:r w:rsidRPr="00205364">
        <w:rPr>
          <w:rFonts w:ascii="Arial" w:hAnsi="Arial"/>
        </w:rPr>
        <w:t xml:space="preserve"> uvést nebo p</w:t>
      </w:r>
      <w:r w:rsidRPr="00205364">
        <w:rPr>
          <w:rFonts w:ascii="Arial" w:hAnsi="Arial"/>
        </w:rPr>
        <w:t>ř</w:t>
      </w:r>
      <w:r w:rsidRPr="00205364">
        <w:rPr>
          <w:rFonts w:ascii="Arial" w:hAnsi="Arial"/>
        </w:rPr>
        <w:t xml:space="preserve">ipojit </w:t>
      </w:r>
      <w:r w:rsidRPr="00205364">
        <w:rPr>
          <w:rFonts w:ascii="Arial" w:hAnsi="Arial"/>
        </w:rPr>
        <w:t xml:space="preserve">certifikát </w:t>
      </w:r>
      <w:r w:rsidRPr="00205364">
        <w:rPr>
          <w:rFonts w:ascii="Arial" w:hAnsi="Arial"/>
        </w:rPr>
        <w:t>k podání“ nahrazují slovy „uznávaným elektronickým podpisem“.</w:t>
      </w:r>
    </w:p>
    <w:p w:rsidR="00205364" w:rsidRDefault="00205364" w:rsidP="00205364">
      <w:pPr>
        <w:pStyle w:val="Nadpis1"/>
        <w:widowControl/>
        <w:tabs>
          <w:tab w:val="left" w:pos="0"/>
        </w:tabs>
        <w:spacing w:before="0" w:after="0" w:line="240" w:lineRule="atLeast"/>
        <w:ind w:left="709"/>
        <w:jc w:val="center"/>
        <w:rPr>
          <w:rFonts w:ascii="Arial" w:hAnsi="Arial"/>
          <w:b w:val="0"/>
          <w:sz w:val="24"/>
        </w:rPr>
      </w:pPr>
    </w:p>
    <w:p w:rsidR="00205364" w:rsidRDefault="00205364" w:rsidP="00205364">
      <w:pPr>
        <w:pStyle w:val="Nadpis1"/>
        <w:widowControl/>
        <w:tabs>
          <w:tab w:val="left" w:pos="0"/>
        </w:tabs>
        <w:spacing w:before="0" w:after="0" w:line="240" w:lineRule="atLeast"/>
        <w:ind w:left="709"/>
        <w:jc w:val="center"/>
        <w:rPr>
          <w:rFonts w:ascii="Arial" w:hAnsi="Arial"/>
          <w:b w:val="0"/>
          <w:sz w:val="24"/>
        </w:rPr>
      </w:pPr>
    </w:p>
    <w:p w:rsidR="00000000" w:rsidRDefault="0076000F" w:rsidP="00205364">
      <w:pPr>
        <w:pStyle w:val="Nadpis1"/>
        <w:widowControl/>
        <w:tabs>
          <w:tab w:val="left" w:pos="0"/>
        </w:tabs>
        <w:spacing w:before="0" w:after="0" w:line="240" w:lineRule="atLeast"/>
        <w:ind w:left="709"/>
        <w:jc w:val="center"/>
      </w:pPr>
      <w:r>
        <w:rPr>
          <w:rFonts w:ascii="Arial" w:hAnsi="Arial"/>
          <w:b w:val="0"/>
          <w:sz w:val="24"/>
        </w:rPr>
        <w:t>Č</w:t>
      </w:r>
      <w:r>
        <w:rPr>
          <w:rFonts w:ascii="Arial" w:hAnsi="Arial"/>
          <w:b w:val="0"/>
          <w:sz w:val="24"/>
        </w:rPr>
        <w:t>l. LI</w:t>
      </w:r>
    </w:p>
    <w:p w:rsidR="00000000" w:rsidRDefault="0076000F">
      <w:pPr>
        <w:pStyle w:val="Zkladntext"/>
        <w:widowControl/>
        <w:spacing w:after="0" w:line="240" w:lineRule="atLeast"/>
        <w:ind w:left="709" w:hanging="360"/>
        <w:jc w:val="both"/>
      </w:pPr>
    </w:p>
    <w:p w:rsidR="00000000" w:rsidRDefault="0076000F">
      <w:pPr>
        <w:pStyle w:val="Zkladntext"/>
        <w:widowControl/>
        <w:spacing w:after="60" w:line="240" w:lineRule="atLeast"/>
        <w:ind w:firstLine="288"/>
        <w:jc w:val="both"/>
        <w:rPr>
          <w:rFonts w:ascii="Arial" w:hAnsi="Arial"/>
        </w:rPr>
      </w:pPr>
      <w:r>
        <w:rPr>
          <w:rFonts w:ascii="Arial" w:hAnsi="Arial"/>
        </w:rPr>
        <w:t>Tento zákon nabývá ú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innosti dnem 1. </w:t>
      </w:r>
      <w:r>
        <w:rPr>
          <w:rFonts w:ascii="Arial" w:hAnsi="Arial"/>
        </w:rPr>
        <w:t>č</w:t>
      </w:r>
      <w:r>
        <w:rPr>
          <w:rFonts w:ascii="Arial" w:hAnsi="Arial"/>
        </w:rPr>
        <w:t>ervence 2012.</w:t>
      </w:r>
    </w:p>
    <w:p w:rsidR="00000000" w:rsidRDefault="0076000F">
      <w:pPr>
        <w:pStyle w:val="Obsahtabulky"/>
        <w:widowControl/>
        <w:spacing w:line="240" w:lineRule="atLeast"/>
        <w:ind w:left="709" w:hanging="360"/>
        <w:jc w:val="both"/>
        <w:rPr>
          <w:rFonts w:ascii="Arial" w:hAnsi="Arial"/>
        </w:rPr>
      </w:pPr>
    </w:p>
    <w:sectPr w:rsidR="00000000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7C55C2"/>
    <w:lvl w:ilvl="0">
      <w:numFmt w:val="bullet"/>
      <w:lvlText w:val="*"/>
      <w:lvlJc w:val="left"/>
    </w:lvl>
  </w:abstractNum>
  <w:abstractNum w:abstractNumId="1">
    <w:nsid w:val="63B14139"/>
    <w:multiLevelType w:val="singleLevel"/>
    <w:tmpl w:val="D1ECE6FE"/>
    <w:lvl w:ilvl="0">
      <w:start w:val="1"/>
      <w:numFmt w:val="decimal"/>
      <w:lvlText w:val="%1"/>
      <w:legacy w:legacy="1" w:legacySpace="0" w:legacyIndent="0"/>
      <w:lvlJc w:val="left"/>
      <w:rPr>
        <w:rFonts w:ascii="Arial" w:hAnsi="Arial" w:cs="Arial" w:hint="default"/>
        <w:b w:val="0"/>
        <w:sz w:val="24"/>
        <w:szCs w:val="24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205364"/>
    <w:rsid w:val="000317D8"/>
    <w:rsid w:val="00205364"/>
    <w:rsid w:val="0076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WenQuanYi Micro Hei" w:hAnsi="WenQuanYi Micro Hei"/>
      <w:kern w:val="1"/>
      <w:sz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b/>
      <w:sz w:val="4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textovodkaz">
    <w:name w:val="Hyperlink"/>
    <w:semiHidden/>
    <w:rPr>
      <w:noProof w:val="0"/>
      <w:color w:val="000080"/>
      <w:u w:val="single"/>
      <w:lang/>
    </w:rPr>
  </w:style>
  <w:style w:type="character" w:customStyle="1" w:styleId="Symbolyproslovn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styleId="Titulek">
    <w:name w:val="caption"/>
    <w:basedOn w:val="Normln"/>
    <w:qFormat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Jiří</dc:creator>
  <cp:keywords/>
  <cp:lastModifiedBy>novj</cp:lastModifiedBy>
  <cp:revision>2</cp:revision>
  <cp:lastPrinted>2012-08-06T11:58:00Z</cp:lastPrinted>
  <dcterms:created xsi:type="dcterms:W3CDTF">2012-08-06T11:59:00Z</dcterms:created>
  <dcterms:modified xsi:type="dcterms:W3CDTF">2012-08-06T11:59:00Z</dcterms:modified>
</cp:coreProperties>
</file>